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2190343</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b/>
          <w:bCs/>
          <w:sz w:val="26"/>
          <w:szCs w:val="26"/>
          <w:rtl/>
        </w:rPr>
      </w:pPr>
    </w:p>
    <w:p w14:paraId="7F6961AA" w14:textId="07D93973" w:rsidR="00E13C27" w:rsidRPr="00CF1AA2" w:rsidRDefault="008F6665" w:rsidP="00923A47">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7E23C86F" w:rsidR="00E13C27" w:rsidRPr="00E06736" w:rsidRDefault="00923A47" w:rsidP="00904591">
      <w:pPr>
        <w:pStyle w:val="David"/>
        <w:spacing w:line="240" w:lineRule="auto"/>
        <w:ind w:left="3544"/>
        <w:rPr>
          <w:rtl/>
        </w:rPr>
      </w:pPr>
      <w:r>
        <w:tab/>
        <w:t xml:space="preserve">    </w:t>
      </w:r>
      <w:r w:rsidR="00904591">
        <w:t xml:space="preserve">                                            </w:t>
      </w:r>
      <w:r w:rsidR="008F1308">
        <w:t xml:space="preserve"> </w:t>
      </w:r>
      <w:bookmarkStart w:id="6" w:name="Private_Number"/>
      <w:r>
        <w:rPr>
          <w:rFonts w:hint="cs"/>
          <w:rtl/>
        </w:rPr>
        <w:t xml:space="preserve">  </w:t>
      </w:r>
      <w:r w:rsidR="00904591">
        <w:rPr>
          <w:rFonts w:hint="cs"/>
          <w:rtl/>
        </w:rPr>
        <w:t>פ/3542/24</w:t>
      </w:r>
      <w:bookmarkEnd w:id="6"/>
    </w:p>
    <w:p w14:paraId="7F6961AC" w14:textId="77777777" w:rsidR="00E13C27" w:rsidRDefault="00E13C27" w:rsidP="00E13C27">
      <w:pPr>
        <w:ind w:left="2880" w:firstLine="720"/>
        <w:rPr>
          <w:sz w:val="26"/>
          <w:szCs w:val="26"/>
          <w:rtl/>
        </w:rPr>
      </w:pPr>
    </w:p>
    <w:p w14:paraId="7F6961AD" w14:textId="4014F8B0" w:rsidR="00E13C27" w:rsidRDefault="00A443CF" w:rsidP="0024677D">
      <w:pPr>
        <w:pStyle w:val="HeadHatzaotHok"/>
        <w:rPr>
          <w:rtl/>
        </w:rPr>
      </w:pPr>
      <w:bookmarkStart w:id="7" w:name="LGS_Subject"/>
      <w:r>
        <w:rPr>
          <w:rFonts w:hint="cs"/>
          <w:rtl/>
        </w:rPr>
        <w:t>הצעת חוק מידע גנטי (תיקון – עריכת בדיקה גנטית לאיתור בן משפחה שעלה בין השנים 1948 עד 1959), התשפ"ב</w:t>
      </w:r>
      <w:r w:rsidR="0024677D">
        <w:rPr>
          <w:rFonts w:hint="eastAsia"/>
          <w:rtl/>
        </w:rPr>
        <w:t>–</w:t>
      </w:r>
      <w:r>
        <w:rPr>
          <w:rFonts w:hint="cs"/>
          <w:rtl/>
        </w:rPr>
        <w:t>2022</w:t>
      </w:r>
      <w:bookmarkEnd w:id="7"/>
    </w:p>
    <w:p w14:paraId="235B344D" w14:textId="77777777" w:rsidR="00923A47" w:rsidRPr="00F67051" w:rsidRDefault="00923A47" w:rsidP="00923A47">
      <w:pPr>
        <w:pStyle w:val="HeadHatzaotHok"/>
        <w:rPr>
          <w:rtl/>
        </w:rPr>
      </w:pPr>
    </w:p>
    <w:tbl>
      <w:tblPr>
        <w:bidiVisual/>
        <w:tblW w:w="9636" w:type="dxa"/>
        <w:tblLayout w:type="fixed"/>
        <w:tblCellMar>
          <w:top w:w="57" w:type="dxa"/>
          <w:left w:w="0" w:type="dxa"/>
          <w:bottom w:w="57" w:type="dxa"/>
          <w:right w:w="0" w:type="dxa"/>
        </w:tblCellMar>
        <w:tblLook w:val="01E0" w:firstRow="1" w:lastRow="1" w:firstColumn="1" w:lastColumn="1" w:noHBand="0" w:noVBand="0"/>
      </w:tblPr>
      <w:tblGrid>
        <w:gridCol w:w="1869"/>
        <w:gridCol w:w="624"/>
        <w:gridCol w:w="1872"/>
        <w:gridCol w:w="624"/>
        <w:gridCol w:w="4647"/>
      </w:tblGrid>
      <w:tr w:rsidR="00A154B5" w:rsidRPr="00C34DE2" w14:paraId="5C49C87D" w14:textId="77777777" w:rsidTr="00923A47">
        <w:trPr>
          <w:cantSplit/>
        </w:trPr>
        <w:tc>
          <w:tcPr>
            <w:tcW w:w="1869" w:type="dxa"/>
            <w:tcBorders>
              <w:top w:val="nil"/>
              <w:left w:val="nil"/>
              <w:bottom w:val="nil"/>
              <w:right w:val="nil"/>
            </w:tcBorders>
          </w:tcPr>
          <w:p w14:paraId="74897F75" w14:textId="77777777" w:rsidR="00A154B5" w:rsidRDefault="00A154B5" w:rsidP="00994C42">
            <w:pPr>
              <w:pStyle w:val="TableSideHeading"/>
              <w:keepLines w:val="0"/>
              <w:rPr>
                <w:sz w:val="26"/>
                <w:rtl/>
              </w:rPr>
            </w:pPr>
            <w:r>
              <w:rPr>
                <w:rFonts w:hint="cs"/>
                <w:sz w:val="26"/>
                <w:rtl/>
              </w:rPr>
              <w:t>הוספת פרק ה'2</w:t>
            </w:r>
          </w:p>
        </w:tc>
        <w:tc>
          <w:tcPr>
            <w:tcW w:w="624" w:type="dxa"/>
            <w:tcBorders>
              <w:top w:val="nil"/>
              <w:left w:val="nil"/>
              <w:bottom w:val="nil"/>
              <w:right w:val="nil"/>
            </w:tcBorders>
          </w:tcPr>
          <w:p w14:paraId="59EB8E72" w14:textId="77777777" w:rsidR="00A154B5" w:rsidRDefault="00A154B5" w:rsidP="00994C42">
            <w:pPr>
              <w:pStyle w:val="TableText"/>
              <w:keepLines w:val="0"/>
              <w:rPr>
                <w:sz w:val="26"/>
                <w:rtl/>
              </w:rPr>
            </w:pPr>
            <w:r>
              <w:rPr>
                <w:rFonts w:hint="cs"/>
                <w:sz w:val="26"/>
                <w:rtl/>
              </w:rPr>
              <w:t>1.</w:t>
            </w:r>
          </w:p>
        </w:tc>
        <w:tc>
          <w:tcPr>
            <w:tcW w:w="7143" w:type="dxa"/>
            <w:gridSpan w:val="3"/>
            <w:tcBorders>
              <w:top w:val="nil"/>
              <w:left w:val="nil"/>
              <w:bottom w:val="nil"/>
              <w:right w:val="nil"/>
            </w:tcBorders>
          </w:tcPr>
          <w:p w14:paraId="3CC4930A" w14:textId="77777777" w:rsidR="00A154B5" w:rsidRPr="00855D09" w:rsidRDefault="00A154B5" w:rsidP="00923A47">
            <w:pPr>
              <w:pStyle w:val="TableBlock"/>
              <w:rPr>
                <w:rtl/>
              </w:rPr>
            </w:pPr>
            <w:r>
              <w:rPr>
                <w:rFonts w:hint="cs"/>
                <w:rtl/>
              </w:rPr>
              <w:t>בחוק מידע גנטי, התשס"א</w:t>
            </w:r>
            <w:r>
              <w:rPr>
                <w:rFonts w:hint="eastAsia"/>
                <w:rtl/>
              </w:rPr>
              <w:t>–</w:t>
            </w:r>
            <w:r>
              <w:rPr>
                <w:rFonts w:hint="cs"/>
                <w:rtl/>
              </w:rPr>
              <w:t>2000</w:t>
            </w:r>
            <w:r w:rsidRPr="00923A47">
              <w:rPr>
                <w:rStyle w:val="a6"/>
                <w:rFonts w:ascii="David" w:hAnsi="David"/>
                <w:sz w:val="26"/>
                <w:rtl/>
              </w:rPr>
              <w:footnoteReference w:id="2"/>
            </w:r>
            <w:r>
              <w:rPr>
                <w:rFonts w:hint="cs"/>
                <w:rtl/>
              </w:rPr>
              <w:t xml:space="preserve"> (להלן </w:t>
            </w:r>
            <w:r>
              <w:rPr>
                <w:rFonts w:hint="eastAsia"/>
                <w:rtl/>
              </w:rPr>
              <w:t>–</w:t>
            </w:r>
            <w:r>
              <w:rPr>
                <w:rFonts w:hint="cs"/>
                <w:rtl/>
              </w:rPr>
              <w:t xml:space="preserve"> החוק העיקרי), אחרי סעיף 28יז יבוא:</w:t>
            </w:r>
          </w:p>
        </w:tc>
      </w:tr>
      <w:tr w:rsidR="00A154B5" w:rsidRPr="00C34DE2" w14:paraId="0DD524F8" w14:textId="77777777" w:rsidTr="00923A47">
        <w:trPr>
          <w:cantSplit/>
        </w:trPr>
        <w:tc>
          <w:tcPr>
            <w:tcW w:w="1869" w:type="dxa"/>
            <w:tcBorders>
              <w:top w:val="nil"/>
              <w:left w:val="nil"/>
              <w:bottom w:val="nil"/>
              <w:right w:val="nil"/>
            </w:tcBorders>
          </w:tcPr>
          <w:p w14:paraId="159D45CB" w14:textId="77777777" w:rsidR="00A154B5" w:rsidRDefault="00A154B5" w:rsidP="00994C42">
            <w:pPr>
              <w:pStyle w:val="TableSideHeading"/>
              <w:keepLines w:val="0"/>
              <w:rPr>
                <w:sz w:val="26"/>
                <w:rtl/>
              </w:rPr>
            </w:pPr>
          </w:p>
        </w:tc>
        <w:tc>
          <w:tcPr>
            <w:tcW w:w="624" w:type="dxa"/>
            <w:tcBorders>
              <w:top w:val="nil"/>
              <w:left w:val="nil"/>
              <w:bottom w:val="nil"/>
              <w:right w:val="nil"/>
            </w:tcBorders>
          </w:tcPr>
          <w:p w14:paraId="4D8B432E" w14:textId="77777777" w:rsidR="00A154B5" w:rsidRDefault="00A154B5" w:rsidP="00994C42">
            <w:pPr>
              <w:pStyle w:val="TableText"/>
              <w:rPr>
                <w:rtl/>
              </w:rPr>
            </w:pPr>
          </w:p>
        </w:tc>
        <w:tc>
          <w:tcPr>
            <w:tcW w:w="7143" w:type="dxa"/>
            <w:gridSpan w:val="3"/>
            <w:tcBorders>
              <w:top w:val="nil"/>
              <w:left w:val="nil"/>
              <w:bottom w:val="nil"/>
              <w:right w:val="nil"/>
            </w:tcBorders>
          </w:tcPr>
          <w:p w14:paraId="729D0BA8" w14:textId="77777777" w:rsidR="00A154B5" w:rsidRDefault="00A154B5" w:rsidP="00923A47">
            <w:pPr>
              <w:pStyle w:val="TableHead"/>
              <w:outlineLvl w:val="9"/>
              <w:rPr>
                <w:rtl/>
              </w:rPr>
            </w:pPr>
            <w:r>
              <w:rPr>
                <w:rFonts w:hint="cs"/>
                <w:rtl/>
              </w:rPr>
              <w:t>"פרק ה'2: עריכת בדיקה גנטית לאיתור בן משפחה</w:t>
            </w:r>
          </w:p>
        </w:tc>
      </w:tr>
      <w:tr w:rsidR="00A154B5" w14:paraId="60F73AD3" w14:textId="77777777" w:rsidTr="00923A47">
        <w:trPr>
          <w:cantSplit/>
        </w:trPr>
        <w:tc>
          <w:tcPr>
            <w:tcW w:w="1869" w:type="dxa"/>
          </w:tcPr>
          <w:p w14:paraId="44F7F82A" w14:textId="77777777" w:rsidR="00A154B5" w:rsidRDefault="00A154B5" w:rsidP="00994C42">
            <w:pPr>
              <w:pStyle w:val="TableSideHeading"/>
              <w:keepLines w:val="0"/>
            </w:pPr>
          </w:p>
        </w:tc>
        <w:tc>
          <w:tcPr>
            <w:tcW w:w="624" w:type="dxa"/>
          </w:tcPr>
          <w:p w14:paraId="77F83454" w14:textId="77777777" w:rsidR="00A154B5" w:rsidRDefault="00A154B5" w:rsidP="00994C42">
            <w:pPr>
              <w:pStyle w:val="TableText"/>
              <w:keepLines w:val="0"/>
            </w:pPr>
          </w:p>
        </w:tc>
        <w:tc>
          <w:tcPr>
            <w:tcW w:w="1872" w:type="dxa"/>
          </w:tcPr>
          <w:p w14:paraId="07FC68E4" w14:textId="77777777" w:rsidR="00A154B5" w:rsidRPr="00855D09" w:rsidRDefault="00A154B5" w:rsidP="00994C42">
            <w:pPr>
              <w:pStyle w:val="TableInnerSideHeading"/>
            </w:pPr>
            <w:r>
              <w:rPr>
                <w:rFonts w:hint="cs"/>
                <w:rtl/>
              </w:rPr>
              <w:t>מטרה</w:t>
            </w:r>
          </w:p>
        </w:tc>
        <w:tc>
          <w:tcPr>
            <w:tcW w:w="624" w:type="dxa"/>
          </w:tcPr>
          <w:p w14:paraId="7950955E" w14:textId="77777777" w:rsidR="00A154B5" w:rsidRDefault="00A154B5" w:rsidP="00994C42">
            <w:pPr>
              <w:pStyle w:val="TableText"/>
            </w:pPr>
            <w:r>
              <w:rPr>
                <w:rFonts w:hint="cs"/>
                <w:rtl/>
              </w:rPr>
              <w:t>28יח.</w:t>
            </w:r>
          </w:p>
        </w:tc>
        <w:tc>
          <w:tcPr>
            <w:tcW w:w="4647" w:type="dxa"/>
          </w:tcPr>
          <w:p w14:paraId="237F2D3D" w14:textId="77777777" w:rsidR="00A154B5" w:rsidRDefault="00A154B5" w:rsidP="00923A47">
            <w:pPr>
              <w:pStyle w:val="TableBlock"/>
            </w:pPr>
            <w:r>
              <w:rPr>
                <w:rFonts w:hint="cs"/>
                <w:rtl/>
              </w:rPr>
              <w:t>מטרת פרק זה היא הקמת מאגר מידע גנטי שישמש את מי שעלו לישראל או נולדו בה מיום ה' באייר התש"ח (14 במאי 1948) עד יום ל' בכסלו התש"ך (31 בדצמבר 1959) לשם איתור בני משפחתם שנסיבות היעלמותם לא נודעו, והם סבורים שבני משפחתם או קרוביהם של בני משפחתם בחיים.</w:t>
            </w:r>
          </w:p>
        </w:tc>
      </w:tr>
      <w:tr w:rsidR="00A154B5" w14:paraId="07304D53" w14:textId="77777777" w:rsidTr="00923A47">
        <w:trPr>
          <w:cantSplit/>
        </w:trPr>
        <w:tc>
          <w:tcPr>
            <w:tcW w:w="1869" w:type="dxa"/>
          </w:tcPr>
          <w:p w14:paraId="07989D4D" w14:textId="77777777" w:rsidR="00A154B5" w:rsidRDefault="00A154B5" w:rsidP="00994C42">
            <w:pPr>
              <w:pStyle w:val="TableSideHeading"/>
              <w:keepLines w:val="0"/>
            </w:pPr>
          </w:p>
        </w:tc>
        <w:tc>
          <w:tcPr>
            <w:tcW w:w="624" w:type="dxa"/>
          </w:tcPr>
          <w:p w14:paraId="04D754FD" w14:textId="77777777" w:rsidR="00A154B5" w:rsidRDefault="00A154B5" w:rsidP="00994C42">
            <w:pPr>
              <w:pStyle w:val="TableText"/>
              <w:keepLines w:val="0"/>
            </w:pPr>
          </w:p>
        </w:tc>
        <w:tc>
          <w:tcPr>
            <w:tcW w:w="1872" w:type="dxa"/>
          </w:tcPr>
          <w:p w14:paraId="53E4225C" w14:textId="77777777" w:rsidR="00A154B5" w:rsidRDefault="00A154B5" w:rsidP="00994C42">
            <w:pPr>
              <w:pStyle w:val="TableInnerSideHeading"/>
            </w:pPr>
            <w:r>
              <w:rPr>
                <w:rFonts w:hint="cs"/>
                <w:rtl/>
              </w:rPr>
              <w:t>הגדרות</w:t>
            </w:r>
          </w:p>
        </w:tc>
        <w:tc>
          <w:tcPr>
            <w:tcW w:w="624" w:type="dxa"/>
          </w:tcPr>
          <w:p w14:paraId="720702F4" w14:textId="77777777" w:rsidR="00A154B5" w:rsidRDefault="00A154B5" w:rsidP="00994C42">
            <w:pPr>
              <w:pStyle w:val="TableText"/>
            </w:pPr>
            <w:r>
              <w:rPr>
                <w:rFonts w:hint="cs"/>
                <w:rtl/>
              </w:rPr>
              <w:t>28יט.</w:t>
            </w:r>
          </w:p>
        </w:tc>
        <w:tc>
          <w:tcPr>
            <w:tcW w:w="4647" w:type="dxa"/>
          </w:tcPr>
          <w:p w14:paraId="12093B30" w14:textId="77777777" w:rsidR="00A154B5" w:rsidRDefault="00A154B5" w:rsidP="00923A47">
            <w:pPr>
              <w:pStyle w:val="TableBlock"/>
            </w:pPr>
            <w:r>
              <w:rPr>
                <w:rFonts w:hint="cs"/>
                <w:rtl/>
              </w:rPr>
              <w:t xml:space="preserve">בפרק זה, "בן משפחה" </w:t>
            </w:r>
            <w:r>
              <w:rPr>
                <w:rFonts w:hint="eastAsia"/>
                <w:rtl/>
              </w:rPr>
              <w:t>–</w:t>
            </w:r>
            <w:r>
              <w:rPr>
                <w:rFonts w:hint="cs"/>
                <w:rtl/>
              </w:rPr>
              <w:t xml:space="preserve"> אב, אם, ילד, ילדה, אח, אחות, לרבות צאצאיהם של אלה.</w:t>
            </w:r>
          </w:p>
        </w:tc>
      </w:tr>
      <w:tr w:rsidR="00A154B5" w14:paraId="65294C81" w14:textId="77777777" w:rsidTr="00923A47">
        <w:trPr>
          <w:cantSplit/>
        </w:trPr>
        <w:tc>
          <w:tcPr>
            <w:tcW w:w="1869" w:type="dxa"/>
          </w:tcPr>
          <w:p w14:paraId="6313150F" w14:textId="77777777" w:rsidR="00A154B5" w:rsidRDefault="00A154B5" w:rsidP="00994C42">
            <w:pPr>
              <w:pStyle w:val="TableSideHeading"/>
            </w:pPr>
          </w:p>
        </w:tc>
        <w:tc>
          <w:tcPr>
            <w:tcW w:w="624" w:type="dxa"/>
          </w:tcPr>
          <w:p w14:paraId="6E1BCB38" w14:textId="77777777" w:rsidR="00A154B5" w:rsidRDefault="00A154B5" w:rsidP="00994C42">
            <w:pPr>
              <w:pStyle w:val="TableText"/>
            </w:pPr>
          </w:p>
        </w:tc>
        <w:tc>
          <w:tcPr>
            <w:tcW w:w="1872" w:type="dxa"/>
          </w:tcPr>
          <w:p w14:paraId="3B501D54" w14:textId="77777777" w:rsidR="00A154B5" w:rsidRDefault="00A154B5" w:rsidP="00994C42">
            <w:pPr>
              <w:pStyle w:val="TableInnerSideHeading"/>
            </w:pPr>
            <w:r>
              <w:rPr>
                <w:rFonts w:hint="cs"/>
                <w:rtl/>
              </w:rPr>
              <w:t>הקמת מאגר מידע גנטי</w:t>
            </w:r>
          </w:p>
        </w:tc>
        <w:tc>
          <w:tcPr>
            <w:tcW w:w="624" w:type="dxa"/>
          </w:tcPr>
          <w:p w14:paraId="0B81EE45" w14:textId="77777777" w:rsidR="00A154B5" w:rsidRDefault="00A154B5" w:rsidP="00994C42">
            <w:pPr>
              <w:pStyle w:val="TableText"/>
            </w:pPr>
            <w:r>
              <w:rPr>
                <w:rFonts w:hint="cs"/>
                <w:rtl/>
              </w:rPr>
              <w:t>28כ.</w:t>
            </w:r>
          </w:p>
        </w:tc>
        <w:tc>
          <w:tcPr>
            <w:tcW w:w="4647" w:type="dxa"/>
          </w:tcPr>
          <w:p w14:paraId="129E7CE0" w14:textId="77777777" w:rsidR="00A154B5" w:rsidRDefault="00A154B5" w:rsidP="00923A47">
            <w:pPr>
              <w:pStyle w:val="TableBlock"/>
            </w:pPr>
            <w:r>
              <w:rPr>
                <w:rFonts w:hint="cs"/>
                <w:rtl/>
              </w:rPr>
              <w:t xml:space="preserve">השר יקים במשרד הבריאות מאגר מידע גנטי (בפרק זה </w:t>
            </w:r>
            <w:r>
              <w:rPr>
                <w:rtl/>
              </w:rPr>
              <w:t>–</w:t>
            </w:r>
            <w:r>
              <w:rPr>
                <w:rFonts w:hint="cs"/>
                <w:rtl/>
              </w:rPr>
              <w:t xml:space="preserve"> מאגר המידע) והוא רשאי שמאגר כאמור ינוהל בבית חולים רשום לפי פקודת בריאות העם.</w:t>
            </w:r>
          </w:p>
        </w:tc>
      </w:tr>
      <w:tr w:rsidR="00A154B5" w14:paraId="7867D4C7" w14:textId="77777777" w:rsidTr="00923A47">
        <w:trPr>
          <w:cantSplit/>
        </w:trPr>
        <w:tc>
          <w:tcPr>
            <w:tcW w:w="1869" w:type="dxa"/>
          </w:tcPr>
          <w:p w14:paraId="7C68D45D" w14:textId="77777777" w:rsidR="00A154B5" w:rsidRDefault="00A154B5" w:rsidP="00994C42">
            <w:pPr>
              <w:pStyle w:val="TableSideHeading"/>
            </w:pPr>
          </w:p>
        </w:tc>
        <w:tc>
          <w:tcPr>
            <w:tcW w:w="624" w:type="dxa"/>
          </w:tcPr>
          <w:p w14:paraId="5CA7FC61" w14:textId="77777777" w:rsidR="00A154B5" w:rsidRDefault="00A154B5" w:rsidP="00994C42">
            <w:pPr>
              <w:pStyle w:val="TableText"/>
            </w:pPr>
          </w:p>
        </w:tc>
        <w:tc>
          <w:tcPr>
            <w:tcW w:w="1872" w:type="dxa"/>
          </w:tcPr>
          <w:p w14:paraId="3389F42C" w14:textId="77777777" w:rsidR="00A154B5" w:rsidRDefault="00A154B5" w:rsidP="00994C42">
            <w:pPr>
              <w:pStyle w:val="TableInnerSideHeading"/>
              <w:rPr>
                <w:rtl/>
              </w:rPr>
            </w:pPr>
            <w:r>
              <w:rPr>
                <w:rFonts w:hint="cs"/>
                <w:rtl/>
              </w:rPr>
              <w:t xml:space="preserve">מתן דגימת </w:t>
            </w:r>
            <w:r>
              <w:t>DNA</w:t>
            </w:r>
            <w:r>
              <w:rPr>
                <w:rFonts w:hint="cs"/>
                <w:rtl/>
              </w:rPr>
              <w:t xml:space="preserve"> לשם בדיקה גנטית לקשרי משפחה</w:t>
            </w:r>
          </w:p>
        </w:tc>
        <w:tc>
          <w:tcPr>
            <w:tcW w:w="624" w:type="dxa"/>
          </w:tcPr>
          <w:p w14:paraId="4E691B25" w14:textId="77777777" w:rsidR="00A154B5" w:rsidRPr="00E77436" w:rsidRDefault="00A154B5" w:rsidP="00994C42">
            <w:pPr>
              <w:pStyle w:val="TableText"/>
              <w:rPr>
                <w:spacing w:val="-20"/>
              </w:rPr>
            </w:pPr>
            <w:r w:rsidRPr="00E77436">
              <w:rPr>
                <w:rFonts w:hint="cs"/>
                <w:spacing w:val="-20"/>
                <w:rtl/>
              </w:rPr>
              <w:t>28כא.</w:t>
            </w:r>
          </w:p>
        </w:tc>
        <w:tc>
          <w:tcPr>
            <w:tcW w:w="4647" w:type="dxa"/>
          </w:tcPr>
          <w:p w14:paraId="31432825" w14:textId="77777777" w:rsidR="00A154B5" w:rsidRDefault="00A154B5" w:rsidP="00923A47">
            <w:pPr>
              <w:pStyle w:val="TableBlock"/>
            </w:pPr>
            <w:r>
              <w:rPr>
                <w:rFonts w:hint="cs"/>
                <w:rtl/>
              </w:rPr>
              <w:t xml:space="preserve">כל אדם שמלאו לו 18 שנה זכאי לתת דגימת </w:t>
            </w:r>
            <w:r>
              <w:t>DNA</w:t>
            </w:r>
            <w:r>
              <w:rPr>
                <w:rFonts w:hint="cs"/>
                <w:rtl/>
              </w:rPr>
              <w:t xml:space="preserve"> לשם בדיקה גנטית לקשרי משפחה עם קרוביהם או בני משפחתם, בהתאם למטרת פרק זה; דגימה כאמור ותוצאות הבדיקה הגנטית לקשרי משפחה יישמרו במאגר המידע.</w:t>
            </w:r>
          </w:p>
        </w:tc>
      </w:tr>
      <w:tr w:rsidR="00A154B5" w14:paraId="544B1923" w14:textId="77777777" w:rsidTr="00923A47">
        <w:trPr>
          <w:cantSplit/>
        </w:trPr>
        <w:tc>
          <w:tcPr>
            <w:tcW w:w="1869" w:type="dxa"/>
          </w:tcPr>
          <w:p w14:paraId="425ABF1E" w14:textId="77777777" w:rsidR="00A154B5" w:rsidRDefault="00A154B5" w:rsidP="00994C42">
            <w:pPr>
              <w:pStyle w:val="TableSideHeading"/>
            </w:pPr>
          </w:p>
        </w:tc>
        <w:tc>
          <w:tcPr>
            <w:tcW w:w="624" w:type="dxa"/>
          </w:tcPr>
          <w:p w14:paraId="2E62C03C" w14:textId="77777777" w:rsidR="00A154B5" w:rsidRDefault="00A154B5" w:rsidP="00994C42">
            <w:pPr>
              <w:pStyle w:val="TableText"/>
            </w:pPr>
          </w:p>
        </w:tc>
        <w:tc>
          <w:tcPr>
            <w:tcW w:w="1872" w:type="dxa"/>
          </w:tcPr>
          <w:p w14:paraId="1D758B93" w14:textId="77777777" w:rsidR="00A154B5" w:rsidRDefault="00A154B5" w:rsidP="00994C42">
            <w:pPr>
              <w:pStyle w:val="TableInnerSideHeading"/>
            </w:pPr>
            <w:r>
              <w:rPr>
                <w:rFonts w:hint="cs"/>
                <w:rtl/>
              </w:rPr>
              <w:t>קבלת מידע ממאגר המידע</w:t>
            </w:r>
          </w:p>
        </w:tc>
        <w:tc>
          <w:tcPr>
            <w:tcW w:w="624" w:type="dxa"/>
          </w:tcPr>
          <w:p w14:paraId="41784EB5" w14:textId="77777777" w:rsidR="00A154B5" w:rsidRDefault="00A154B5" w:rsidP="00994C42">
            <w:pPr>
              <w:pStyle w:val="TableText"/>
            </w:pPr>
            <w:r>
              <w:rPr>
                <w:rFonts w:hint="cs"/>
                <w:rtl/>
              </w:rPr>
              <w:t>28כב.</w:t>
            </w:r>
          </w:p>
        </w:tc>
        <w:tc>
          <w:tcPr>
            <w:tcW w:w="4647" w:type="dxa"/>
          </w:tcPr>
          <w:p w14:paraId="3F705A75" w14:textId="77777777" w:rsidR="00A154B5" w:rsidRDefault="00A154B5" w:rsidP="00923A47">
            <w:pPr>
              <w:pStyle w:val="TableBlock"/>
            </w:pPr>
            <w:r>
              <w:rPr>
                <w:rFonts w:hint="cs"/>
                <w:rtl/>
              </w:rPr>
              <w:t>(א)</w:t>
            </w:r>
            <w:r>
              <w:rPr>
                <w:rtl/>
              </w:rPr>
              <w:tab/>
            </w:r>
            <w:r>
              <w:rPr>
                <w:rFonts w:hint="cs"/>
                <w:rtl/>
              </w:rPr>
              <w:t xml:space="preserve">אדם שנתן דגימת </w:t>
            </w:r>
            <w:r>
              <w:rPr>
                <w:rFonts w:hint="cs"/>
              </w:rPr>
              <w:t>DNA</w:t>
            </w:r>
            <w:r>
              <w:rPr>
                <w:rFonts w:hint="cs"/>
                <w:rtl/>
              </w:rPr>
              <w:t xml:space="preserve"> לפי סעיף 28כא זכאי לקבל מידע ממאגר המידע אם מתקיימים קשרי משפחה עם קרוב או בן משפחה אחר שנתנו דגימת </w:t>
            </w:r>
            <w:r>
              <w:rPr>
                <w:rFonts w:hint="cs"/>
              </w:rPr>
              <w:t>DNA</w:t>
            </w:r>
            <w:r>
              <w:rPr>
                <w:rFonts w:hint="cs"/>
                <w:rtl/>
              </w:rPr>
              <w:t xml:space="preserve"> כאמור. </w:t>
            </w:r>
          </w:p>
        </w:tc>
      </w:tr>
      <w:tr w:rsidR="00A154B5" w14:paraId="5E978EB9" w14:textId="77777777" w:rsidTr="00923A47">
        <w:trPr>
          <w:cantSplit/>
        </w:trPr>
        <w:tc>
          <w:tcPr>
            <w:tcW w:w="1869" w:type="dxa"/>
          </w:tcPr>
          <w:p w14:paraId="60103D5D" w14:textId="77777777" w:rsidR="00A154B5" w:rsidRDefault="00A154B5" w:rsidP="00994C42">
            <w:pPr>
              <w:pStyle w:val="TableSideHeading"/>
            </w:pPr>
          </w:p>
        </w:tc>
        <w:tc>
          <w:tcPr>
            <w:tcW w:w="624" w:type="dxa"/>
          </w:tcPr>
          <w:p w14:paraId="6A0EF6F8" w14:textId="77777777" w:rsidR="00A154B5" w:rsidRDefault="00A154B5" w:rsidP="00994C42">
            <w:pPr>
              <w:pStyle w:val="TableText"/>
            </w:pPr>
          </w:p>
        </w:tc>
        <w:tc>
          <w:tcPr>
            <w:tcW w:w="1872" w:type="dxa"/>
          </w:tcPr>
          <w:p w14:paraId="5B256E4B" w14:textId="77777777" w:rsidR="00A154B5" w:rsidRDefault="00A154B5" w:rsidP="00994C42">
            <w:pPr>
              <w:pStyle w:val="TableInnerSideHeading"/>
            </w:pPr>
          </w:p>
        </w:tc>
        <w:tc>
          <w:tcPr>
            <w:tcW w:w="624" w:type="dxa"/>
          </w:tcPr>
          <w:p w14:paraId="46052A28" w14:textId="77777777" w:rsidR="00A154B5" w:rsidRDefault="00A154B5" w:rsidP="00994C42">
            <w:pPr>
              <w:pStyle w:val="TableText"/>
            </w:pPr>
          </w:p>
        </w:tc>
        <w:tc>
          <w:tcPr>
            <w:tcW w:w="4647" w:type="dxa"/>
          </w:tcPr>
          <w:p w14:paraId="4F2F247C" w14:textId="77777777" w:rsidR="00A154B5" w:rsidRDefault="00A154B5" w:rsidP="00923A47">
            <w:pPr>
              <w:pStyle w:val="TableBlock"/>
            </w:pPr>
            <w:r>
              <w:rPr>
                <w:rFonts w:hint="cs"/>
                <w:rtl/>
              </w:rPr>
              <w:t>(ב)</w:t>
            </w:r>
            <w:r>
              <w:rPr>
                <w:rtl/>
              </w:rPr>
              <w:tab/>
            </w:r>
            <w:r w:rsidRPr="000F5AD4">
              <w:rPr>
                <w:rtl/>
              </w:rPr>
              <w:t xml:space="preserve">קיבל אדם הודעה </w:t>
            </w:r>
            <w:r>
              <w:rPr>
                <w:rFonts w:hint="cs"/>
                <w:rtl/>
              </w:rPr>
              <w:t>ממאגר המידע ל</w:t>
            </w:r>
            <w:r w:rsidRPr="000F5AD4">
              <w:rPr>
                <w:rtl/>
              </w:rPr>
              <w:t>פי סעיף קטן (א), לפיה הוא קרוב של</w:t>
            </w:r>
            <w:r>
              <w:rPr>
                <w:rtl/>
              </w:rPr>
              <w:t xml:space="preserve"> אדם אחר הרשום במאגר המי</w:t>
            </w:r>
            <w:r>
              <w:rPr>
                <w:rFonts w:hint="cs"/>
                <w:rtl/>
              </w:rPr>
              <w:t>דע</w:t>
            </w:r>
            <w:r>
              <w:rPr>
                <w:rtl/>
              </w:rPr>
              <w:t>, זכאי הוא לקבל</w:t>
            </w:r>
            <w:r>
              <w:rPr>
                <w:rFonts w:hint="cs"/>
                <w:rtl/>
              </w:rPr>
              <w:t xml:space="preserve"> </w:t>
            </w:r>
            <w:r w:rsidRPr="000F5AD4">
              <w:rPr>
                <w:rtl/>
              </w:rPr>
              <w:t xml:space="preserve">ממאגר המידע את פרטיו המזהים של קרובו </w:t>
            </w:r>
            <w:r>
              <w:rPr>
                <w:rFonts w:hint="cs"/>
                <w:rtl/>
              </w:rPr>
              <w:t xml:space="preserve">או של בן משפחה אחר או דרך ההתקשרות עמם אם היא </w:t>
            </w:r>
            <w:r w:rsidRPr="000F5AD4">
              <w:rPr>
                <w:rtl/>
              </w:rPr>
              <w:t>שמור</w:t>
            </w:r>
            <w:r>
              <w:rPr>
                <w:rFonts w:hint="cs"/>
                <w:rtl/>
              </w:rPr>
              <w:t>ה</w:t>
            </w:r>
            <w:r w:rsidRPr="000F5AD4">
              <w:rPr>
                <w:rtl/>
              </w:rPr>
              <w:t xml:space="preserve"> במאגר המידע</w:t>
            </w:r>
            <w:r>
              <w:rPr>
                <w:rFonts w:hint="cs"/>
                <w:rtl/>
              </w:rPr>
              <w:t>.</w:t>
            </w:r>
          </w:p>
        </w:tc>
      </w:tr>
      <w:tr w:rsidR="00A154B5" w14:paraId="61012918" w14:textId="77777777" w:rsidTr="00923A47">
        <w:trPr>
          <w:cantSplit/>
        </w:trPr>
        <w:tc>
          <w:tcPr>
            <w:tcW w:w="1869" w:type="dxa"/>
          </w:tcPr>
          <w:p w14:paraId="774B3BB3" w14:textId="77777777" w:rsidR="00A154B5" w:rsidRDefault="00A154B5" w:rsidP="00994C42">
            <w:pPr>
              <w:pStyle w:val="TableSideHeading"/>
            </w:pPr>
          </w:p>
        </w:tc>
        <w:tc>
          <w:tcPr>
            <w:tcW w:w="624" w:type="dxa"/>
          </w:tcPr>
          <w:p w14:paraId="1C3E42D5" w14:textId="77777777" w:rsidR="00A154B5" w:rsidRDefault="00A154B5" w:rsidP="00994C42">
            <w:pPr>
              <w:pStyle w:val="TableText"/>
            </w:pPr>
          </w:p>
        </w:tc>
        <w:tc>
          <w:tcPr>
            <w:tcW w:w="1872" w:type="dxa"/>
          </w:tcPr>
          <w:p w14:paraId="1B96A226" w14:textId="77777777" w:rsidR="00A154B5" w:rsidRDefault="00A154B5" w:rsidP="00994C42">
            <w:pPr>
              <w:pStyle w:val="TableInnerSideHeading"/>
            </w:pPr>
          </w:p>
        </w:tc>
        <w:tc>
          <w:tcPr>
            <w:tcW w:w="624" w:type="dxa"/>
          </w:tcPr>
          <w:p w14:paraId="7CD74B31" w14:textId="77777777" w:rsidR="00A154B5" w:rsidRDefault="00A154B5" w:rsidP="00994C42">
            <w:pPr>
              <w:pStyle w:val="TableText"/>
            </w:pPr>
          </w:p>
        </w:tc>
        <w:tc>
          <w:tcPr>
            <w:tcW w:w="4647" w:type="dxa"/>
          </w:tcPr>
          <w:p w14:paraId="6A6C8A43" w14:textId="77777777" w:rsidR="00A154B5" w:rsidRDefault="00A154B5" w:rsidP="00923A47">
            <w:pPr>
              <w:pStyle w:val="TableBlock"/>
            </w:pPr>
            <w:r>
              <w:rPr>
                <w:rFonts w:hint="cs"/>
                <w:rtl/>
              </w:rPr>
              <w:t>(ג)</w:t>
            </w:r>
            <w:r>
              <w:rPr>
                <w:rtl/>
              </w:rPr>
              <w:tab/>
            </w:r>
            <w:r>
              <w:rPr>
                <w:rFonts w:hint="cs"/>
                <w:rtl/>
              </w:rPr>
              <w:t xml:space="preserve">על אף האמור בסעיף קטן (א), מאגר מידע רשאי שלא למסור לאדם מידע, מלא או חלקי,  ממאגר המידע אם </w:t>
            </w:r>
            <w:r w:rsidRPr="00E919F0">
              <w:rPr>
                <w:rtl/>
              </w:rPr>
              <w:t>ידיעת</w:t>
            </w:r>
            <w:r>
              <w:rPr>
                <w:rFonts w:hint="cs"/>
                <w:rtl/>
              </w:rPr>
              <w:t>ו</w:t>
            </w:r>
            <w:r w:rsidRPr="00E919F0">
              <w:rPr>
                <w:rtl/>
              </w:rPr>
              <w:t xml:space="preserve"> עלולה לגרום נזק חמור לבריאותו הגופנית או הנפשית של ה</w:t>
            </w:r>
            <w:r>
              <w:rPr>
                <w:rFonts w:hint="cs"/>
                <w:rtl/>
              </w:rPr>
              <w:t xml:space="preserve">אדם </w:t>
            </w:r>
            <w:r w:rsidRPr="00E919F0">
              <w:rPr>
                <w:rtl/>
              </w:rPr>
              <w:t>או לסכן את חיי</w:t>
            </w:r>
            <w:r>
              <w:rPr>
                <w:rFonts w:hint="cs"/>
                <w:rtl/>
              </w:rPr>
              <w:t>ו.</w:t>
            </w:r>
          </w:p>
        </w:tc>
      </w:tr>
      <w:tr w:rsidR="00A154B5" w14:paraId="402A9EA5" w14:textId="77777777" w:rsidTr="00923A47">
        <w:trPr>
          <w:cantSplit/>
        </w:trPr>
        <w:tc>
          <w:tcPr>
            <w:tcW w:w="1869" w:type="dxa"/>
          </w:tcPr>
          <w:p w14:paraId="0492681F" w14:textId="77777777" w:rsidR="00A154B5" w:rsidRDefault="00A154B5" w:rsidP="00994C42">
            <w:pPr>
              <w:pStyle w:val="TableSideHeading"/>
              <w:rPr>
                <w:rtl/>
              </w:rPr>
            </w:pPr>
          </w:p>
        </w:tc>
        <w:tc>
          <w:tcPr>
            <w:tcW w:w="624" w:type="dxa"/>
          </w:tcPr>
          <w:p w14:paraId="7FB11E09" w14:textId="77777777" w:rsidR="00A154B5" w:rsidRDefault="00A154B5" w:rsidP="00994C42">
            <w:pPr>
              <w:pStyle w:val="TableText"/>
            </w:pPr>
          </w:p>
        </w:tc>
        <w:tc>
          <w:tcPr>
            <w:tcW w:w="1872" w:type="dxa"/>
          </w:tcPr>
          <w:p w14:paraId="48DA48FD" w14:textId="77777777" w:rsidR="00A154B5" w:rsidRDefault="00A154B5" w:rsidP="00994C42">
            <w:pPr>
              <w:pStyle w:val="TableInnerSideHeading"/>
            </w:pPr>
            <w:r>
              <w:rPr>
                <w:rFonts w:hint="cs"/>
                <w:rtl/>
              </w:rPr>
              <w:t>מחיקת מידע ממאגר המידע</w:t>
            </w:r>
          </w:p>
        </w:tc>
        <w:tc>
          <w:tcPr>
            <w:tcW w:w="624" w:type="dxa"/>
          </w:tcPr>
          <w:p w14:paraId="792EE65A" w14:textId="77777777" w:rsidR="00A154B5" w:rsidRDefault="00A154B5" w:rsidP="00994C42">
            <w:pPr>
              <w:pStyle w:val="TableText"/>
            </w:pPr>
            <w:r>
              <w:rPr>
                <w:rFonts w:hint="cs"/>
                <w:rtl/>
              </w:rPr>
              <w:t>28כג.</w:t>
            </w:r>
          </w:p>
        </w:tc>
        <w:tc>
          <w:tcPr>
            <w:tcW w:w="4647" w:type="dxa"/>
          </w:tcPr>
          <w:p w14:paraId="1747FFBC" w14:textId="77777777" w:rsidR="00A154B5" w:rsidRDefault="00A154B5" w:rsidP="00923A47">
            <w:pPr>
              <w:pStyle w:val="TableBlock"/>
              <w:rPr>
                <w:rtl/>
              </w:rPr>
            </w:pPr>
            <w:r>
              <w:rPr>
                <w:rFonts w:hint="cs"/>
                <w:rtl/>
              </w:rPr>
              <w:t xml:space="preserve">אדם שנתן דגימת </w:t>
            </w:r>
            <w:r>
              <w:rPr>
                <w:rFonts w:hint="cs"/>
              </w:rPr>
              <w:t>DNA</w:t>
            </w:r>
            <w:r>
              <w:rPr>
                <w:rFonts w:hint="cs"/>
                <w:rtl/>
              </w:rPr>
              <w:t xml:space="preserve"> לפי סעיף 28כא רשאי, בכל עת, להורות למאגר המידע למחוק את כל המידע בעניינו שנמצא במאגר המידע.</w:t>
            </w:r>
          </w:p>
        </w:tc>
      </w:tr>
      <w:tr w:rsidR="00A154B5" w14:paraId="0D3FE70B" w14:textId="77777777" w:rsidTr="00923A47">
        <w:trPr>
          <w:cantSplit/>
        </w:trPr>
        <w:tc>
          <w:tcPr>
            <w:tcW w:w="1869" w:type="dxa"/>
          </w:tcPr>
          <w:p w14:paraId="3E15077E" w14:textId="77777777" w:rsidR="00A154B5" w:rsidRDefault="00A154B5" w:rsidP="00994C42">
            <w:pPr>
              <w:pStyle w:val="TableSideHeading"/>
            </w:pPr>
          </w:p>
        </w:tc>
        <w:tc>
          <w:tcPr>
            <w:tcW w:w="624" w:type="dxa"/>
          </w:tcPr>
          <w:p w14:paraId="47CD47A9" w14:textId="77777777" w:rsidR="00A154B5" w:rsidRDefault="00A154B5" w:rsidP="00994C42">
            <w:pPr>
              <w:pStyle w:val="TableText"/>
            </w:pPr>
          </w:p>
        </w:tc>
        <w:tc>
          <w:tcPr>
            <w:tcW w:w="1872" w:type="dxa"/>
          </w:tcPr>
          <w:p w14:paraId="294304E6" w14:textId="77777777" w:rsidR="00A154B5" w:rsidRDefault="00A154B5" w:rsidP="00994C42">
            <w:pPr>
              <w:pStyle w:val="TableInnerSideHeading"/>
            </w:pPr>
            <w:r>
              <w:rPr>
                <w:rFonts w:hint="cs"/>
                <w:rtl/>
              </w:rPr>
              <w:t>איסור שימוש במידע</w:t>
            </w:r>
          </w:p>
        </w:tc>
        <w:tc>
          <w:tcPr>
            <w:tcW w:w="624" w:type="dxa"/>
          </w:tcPr>
          <w:p w14:paraId="0B1FB19E" w14:textId="77777777" w:rsidR="00A154B5" w:rsidRDefault="00A154B5" w:rsidP="00994C42">
            <w:pPr>
              <w:pStyle w:val="TableText"/>
            </w:pPr>
            <w:r>
              <w:rPr>
                <w:rFonts w:hint="cs"/>
                <w:rtl/>
              </w:rPr>
              <w:t>28כד.</w:t>
            </w:r>
          </w:p>
        </w:tc>
        <w:tc>
          <w:tcPr>
            <w:tcW w:w="4647" w:type="dxa"/>
          </w:tcPr>
          <w:p w14:paraId="59EDA781" w14:textId="77777777" w:rsidR="00A154B5" w:rsidRDefault="00A154B5" w:rsidP="00923A47">
            <w:pPr>
              <w:pStyle w:val="TableBlock"/>
            </w:pPr>
            <w:r>
              <w:rPr>
                <w:rFonts w:hint="cs"/>
                <w:rtl/>
              </w:rPr>
              <w:t xml:space="preserve">לא ייעשה שימוש במידע שבמאגר המידע והוראות פרק ז' לא יחולו לעניין פרק זה. </w:t>
            </w:r>
          </w:p>
        </w:tc>
      </w:tr>
      <w:tr w:rsidR="00A154B5" w14:paraId="536FFA19" w14:textId="77777777" w:rsidTr="00923A47">
        <w:trPr>
          <w:cantSplit/>
        </w:trPr>
        <w:tc>
          <w:tcPr>
            <w:tcW w:w="1869" w:type="dxa"/>
          </w:tcPr>
          <w:p w14:paraId="678F490A" w14:textId="77777777" w:rsidR="00A154B5" w:rsidRDefault="00A154B5" w:rsidP="00994C42">
            <w:pPr>
              <w:pStyle w:val="TableSideHeading"/>
            </w:pPr>
          </w:p>
        </w:tc>
        <w:tc>
          <w:tcPr>
            <w:tcW w:w="624" w:type="dxa"/>
          </w:tcPr>
          <w:p w14:paraId="7EF1FFBD" w14:textId="77777777" w:rsidR="00A154B5" w:rsidRDefault="00A154B5" w:rsidP="00994C42">
            <w:pPr>
              <w:pStyle w:val="TableText"/>
            </w:pPr>
          </w:p>
        </w:tc>
        <w:tc>
          <w:tcPr>
            <w:tcW w:w="1872" w:type="dxa"/>
          </w:tcPr>
          <w:p w14:paraId="24ECE036" w14:textId="77777777" w:rsidR="00A154B5" w:rsidRDefault="00A154B5" w:rsidP="00994C42">
            <w:pPr>
              <w:pStyle w:val="TableInnerSideHeading"/>
            </w:pPr>
            <w:r>
              <w:rPr>
                <w:rFonts w:hint="cs"/>
                <w:rtl/>
              </w:rPr>
              <w:t xml:space="preserve">תקנות </w:t>
            </w:r>
            <w:r>
              <w:rPr>
                <w:rtl/>
              </w:rPr>
              <w:t>–</w:t>
            </w:r>
            <w:r>
              <w:rPr>
                <w:rFonts w:hint="cs"/>
                <w:rtl/>
              </w:rPr>
              <w:t xml:space="preserve"> פרק ה'2</w:t>
            </w:r>
          </w:p>
        </w:tc>
        <w:tc>
          <w:tcPr>
            <w:tcW w:w="624" w:type="dxa"/>
          </w:tcPr>
          <w:p w14:paraId="2E62367C" w14:textId="77777777" w:rsidR="00A154B5" w:rsidRDefault="00A154B5" w:rsidP="00994C42">
            <w:pPr>
              <w:pStyle w:val="TableText"/>
            </w:pPr>
            <w:r>
              <w:rPr>
                <w:rFonts w:hint="cs"/>
                <w:rtl/>
              </w:rPr>
              <w:t>28כה.</w:t>
            </w:r>
          </w:p>
        </w:tc>
        <w:tc>
          <w:tcPr>
            <w:tcW w:w="4647" w:type="dxa"/>
          </w:tcPr>
          <w:p w14:paraId="08D0F5BD" w14:textId="77777777" w:rsidR="00A154B5" w:rsidRDefault="00A154B5" w:rsidP="00923A47">
            <w:pPr>
              <w:pStyle w:val="TableBlock"/>
            </w:pPr>
            <w:r>
              <w:rPr>
                <w:rFonts w:hint="cs"/>
                <w:rtl/>
              </w:rPr>
              <w:t xml:space="preserve">השר, באישור ועדת המדע, רשאי לקבוע הוראות לעניין פרק זה בעניינים אלה: </w:t>
            </w:r>
          </w:p>
        </w:tc>
      </w:tr>
      <w:tr w:rsidR="00A154B5" w14:paraId="48A48FCA" w14:textId="77777777" w:rsidTr="00923A47">
        <w:trPr>
          <w:cantSplit/>
        </w:trPr>
        <w:tc>
          <w:tcPr>
            <w:tcW w:w="1869" w:type="dxa"/>
          </w:tcPr>
          <w:p w14:paraId="09DA71E5" w14:textId="77777777" w:rsidR="00A154B5" w:rsidRDefault="00A154B5" w:rsidP="00994C42">
            <w:pPr>
              <w:pStyle w:val="TableSideHeading"/>
            </w:pPr>
          </w:p>
        </w:tc>
        <w:tc>
          <w:tcPr>
            <w:tcW w:w="624" w:type="dxa"/>
          </w:tcPr>
          <w:p w14:paraId="1C500562" w14:textId="77777777" w:rsidR="00A154B5" w:rsidRDefault="00A154B5" w:rsidP="00994C42">
            <w:pPr>
              <w:pStyle w:val="TableText"/>
            </w:pPr>
          </w:p>
        </w:tc>
        <w:tc>
          <w:tcPr>
            <w:tcW w:w="1872" w:type="dxa"/>
          </w:tcPr>
          <w:p w14:paraId="44EB3401" w14:textId="77777777" w:rsidR="00A154B5" w:rsidRDefault="00A154B5" w:rsidP="00994C42">
            <w:pPr>
              <w:pStyle w:val="TableInnerSideHeading"/>
            </w:pPr>
          </w:p>
        </w:tc>
        <w:tc>
          <w:tcPr>
            <w:tcW w:w="624" w:type="dxa"/>
          </w:tcPr>
          <w:p w14:paraId="0E36D512" w14:textId="77777777" w:rsidR="00A154B5" w:rsidRDefault="00A154B5" w:rsidP="00994C42">
            <w:pPr>
              <w:pStyle w:val="TableText"/>
            </w:pPr>
          </w:p>
        </w:tc>
        <w:tc>
          <w:tcPr>
            <w:tcW w:w="4647" w:type="dxa"/>
          </w:tcPr>
          <w:p w14:paraId="6898CAAF" w14:textId="77777777" w:rsidR="00A154B5" w:rsidRDefault="00A154B5" w:rsidP="00923A47">
            <w:pPr>
              <w:pStyle w:val="TableBlock"/>
            </w:pPr>
            <w:r>
              <w:rPr>
                <w:rFonts w:hint="cs"/>
                <w:rtl/>
              </w:rPr>
              <w:t>(1)</w:t>
            </w:r>
            <w:r>
              <w:rPr>
                <w:rtl/>
              </w:rPr>
              <w:tab/>
            </w:r>
            <w:r>
              <w:rPr>
                <w:rFonts w:hint="cs"/>
                <w:rtl/>
              </w:rPr>
              <w:t>אופן מתן הסכמה מדעת, לרבות קביעת טופס למתן הסכמה כאמור;</w:t>
            </w:r>
          </w:p>
        </w:tc>
      </w:tr>
      <w:tr w:rsidR="00A154B5" w14:paraId="1B2F262C" w14:textId="77777777" w:rsidTr="00923A47">
        <w:trPr>
          <w:cantSplit/>
        </w:trPr>
        <w:tc>
          <w:tcPr>
            <w:tcW w:w="1869" w:type="dxa"/>
          </w:tcPr>
          <w:p w14:paraId="6C2D07A8" w14:textId="77777777" w:rsidR="00A154B5" w:rsidRDefault="00A154B5" w:rsidP="00994C42">
            <w:pPr>
              <w:pStyle w:val="TableSideHeading"/>
            </w:pPr>
          </w:p>
        </w:tc>
        <w:tc>
          <w:tcPr>
            <w:tcW w:w="624" w:type="dxa"/>
          </w:tcPr>
          <w:p w14:paraId="168B989E" w14:textId="77777777" w:rsidR="00A154B5" w:rsidRDefault="00A154B5" w:rsidP="00994C42">
            <w:pPr>
              <w:pStyle w:val="TableText"/>
            </w:pPr>
          </w:p>
        </w:tc>
        <w:tc>
          <w:tcPr>
            <w:tcW w:w="1872" w:type="dxa"/>
          </w:tcPr>
          <w:p w14:paraId="046A9E20" w14:textId="77777777" w:rsidR="00A154B5" w:rsidRDefault="00A154B5" w:rsidP="00994C42">
            <w:pPr>
              <w:pStyle w:val="TableInnerSideHeading"/>
            </w:pPr>
          </w:p>
        </w:tc>
        <w:tc>
          <w:tcPr>
            <w:tcW w:w="624" w:type="dxa"/>
          </w:tcPr>
          <w:p w14:paraId="0940D1FF" w14:textId="77777777" w:rsidR="00A154B5" w:rsidRDefault="00A154B5" w:rsidP="00994C42">
            <w:pPr>
              <w:pStyle w:val="TableText"/>
            </w:pPr>
          </w:p>
        </w:tc>
        <w:tc>
          <w:tcPr>
            <w:tcW w:w="4647" w:type="dxa"/>
          </w:tcPr>
          <w:p w14:paraId="16C4E919" w14:textId="77777777" w:rsidR="00A154B5" w:rsidRDefault="00A154B5" w:rsidP="00923A47">
            <w:pPr>
              <w:pStyle w:val="TableBlock"/>
            </w:pPr>
            <w:r>
              <w:rPr>
                <w:rFonts w:hint="cs"/>
                <w:rtl/>
              </w:rPr>
              <w:t>(2)</w:t>
            </w:r>
            <w:r>
              <w:rPr>
                <w:rtl/>
              </w:rPr>
              <w:tab/>
            </w:r>
            <w:r>
              <w:rPr>
                <w:rFonts w:hint="cs"/>
                <w:rtl/>
              </w:rPr>
              <w:t>דרכי מסירת המידע למאגר המידע ואופן מסירתו;</w:t>
            </w:r>
          </w:p>
        </w:tc>
      </w:tr>
      <w:tr w:rsidR="00A154B5" w14:paraId="08A9E368" w14:textId="77777777" w:rsidTr="00923A47">
        <w:trPr>
          <w:cantSplit/>
        </w:trPr>
        <w:tc>
          <w:tcPr>
            <w:tcW w:w="1869" w:type="dxa"/>
          </w:tcPr>
          <w:p w14:paraId="7AD82166" w14:textId="77777777" w:rsidR="00A154B5" w:rsidRDefault="00A154B5" w:rsidP="00994C42">
            <w:pPr>
              <w:pStyle w:val="TableSideHeading"/>
              <w:rPr>
                <w:rtl/>
              </w:rPr>
            </w:pPr>
          </w:p>
        </w:tc>
        <w:tc>
          <w:tcPr>
            <w:tcW w:w="624" w:type="dxa"/>
          </w:tcPr>
          <w:p w14:paraId="508647D4" w14:textId="77777777" w:rsidR="00A154B5" w:rsidRDefault="00A154B5" w:rsidP="00994C42">
            <w:pPr>
              <w:pStyle w:val="TableText"/>
            </w:pPr>
          </w:p>
        </w:tc>
        <w:tc>
          <w:tcPr>
            <w:tcW w:w="1872" w:type="dxa"/>
          </w:tcPr>
          <w:p w14:paraId="4A7E80EF" w14:textId="77777777" w:rsidR="00A154B5" w:rsidRDefault="00A154B5" w:rsidP="00994C42">
            <w:pPr>
              <w:pStyle w:val="TableInnerSideHeading"/>
            </w:pPr>
          </w:p>
        </w:tc>
        <w:tc>
          <w:tcPr>
            <w:tcW w:w="624" w:type="dxa"/>
          </w:tcPr>
          <w:p w14:paraId="72252065" w14:textId="77777777" w:rsidR="00A154B5" w:rsidRDefault="00A154B5" w:rsidP="00994C42">
            <w:pPr>
              <w:pStyle w:val="TableText"/>
            </w:pPr>
          </w:p>
        </w:tc>
        <w:tc>
          <w:tcPr>
            <w:tcW w:w="4647" w:type="dxa"/>
          </w:tcPr>
          <w:p w14:paraId="1558BF26" w14:textId="77777777" w:rsidR="00A154B5" w:rsidRDefault="00A154B5" w:rsidP="00923A47">
            <w:pPr>
              <w:pStyle w:val="TableBlock"/>
              <w:rPr>
                <w:rtl/>
              </w:rPr>
            </w:pPr>
            <w:r>
              <w:rPr>
                <w:rFonts w:hint="cs"/>
                <w:rtl/>
              </w:rPr>
              <w:t>(3)</w:t>
            </w:r>
            <w:r>
              <w:rPr>
                <w:rtl/>
              </w:rPr>
              <w:tab/>
            </w:r>
            <w:r>
              <w:rPr>
                <w:rFonts w:hint="cs"/>
                <w:rtl/>
              </w:rPr>
              <w:t>הפעלת מאגר המידע, שמירת המידע המצוי בו ואופן מסירת המידע לפי סעיף 28כב;</w:t>
            </w:r>
          </w:p>
        </w:tc>
      </w:tr>
      <w:tr w:rsidR="00A154B5" w14:paraId="732E1F64" w14:textId="77777777" w:rsidTr="00923A47">
        <w:trPr>
          <w:cantSplit/>
        </w:trPr>
        <w:tc>
          <w:tcPr>
            <w:tcW w:w="1869" w:type="dxa"/>
          </w:tcPr>
          <w:p w14:paraId="7885D502" w14:textId="77777777" w:rsidR="00A154B5" w:rsidRDefault="00A154B5" w:rsidP="00994C42">
            <w:pPr>
              <w:pStyle w:val="TableSideHeading"/>
            </w:pPr>
          </w:p>
        </w:tc>
        <w:tc>
          <w:tcPr>
            <w:tcW w:w="624" w:type="dxa"/>
          </w:tcPr>
          <w:p w14:paraId="4149B1D3" w14:textId="77777777" w:rsidR="00A154B5" w:rsidRDefault="00A154B5" w:rsidP="00994C42">
            <w:pPr>
              <w:pStyle w:val="TableText"/>
            </w:pPr>
          </w:p>
        </w:tc>
        <w:tc>
          <w:tcPr>
            <w:tcW w:w="1872" w:type="dxa"/>
          </w:tcPr>
          <w:p w14:paraId="4337CE7C" w14:textId="77777777" w:rsidR="00A154B5" w:rsidRPr="00204D7D" w:rsidRDefault="00A154B5" w:rsidP="00994C42">
            <w:pPr>
              <w:pStyle w:val="TableInnerSideHeading"/>
            </w:pPr>
          </w:p>
        </w:tc>
        <w:tc>
          <w:tcPr>
            <w:tcW w:w="624" w:type="dxa"/>
          </w:tcPr>
          <w:p w14:paraId="4EF934ED" w14:textId="77777777" w:rsidR="00A154B5" w:rsidRDefault="00A154B5" w:rsidP="00994C42">
            <w:pPr>
              <w:pStyle w:val="TableText"/>
            </w:pPr>
          </w:p>
        </w:tc>
        <w:tc>
          <w:tcPr>
            <w:tcW w:w="4647" w:type="dxa"/>
          </w:tcPr>
          <w:p w14:paraId="497045AF" w14:textId="77777777" w:rsidR="00A154B5" w:rsidRDefault="00A154B5" w:rsidP="00923A47">
            <w:pPr>
              <w:pStyle w:val="TableBlock"/>
            </w:pPr>
            <w:r>
              <w:rPr>
                <w:rFonts w:hint="cs"/>
                <w:rtl/>
              </w:rPr>
              <w:t>(4)</w:t>
            </w:r>
            <w:r>
              <w:rPr>
                <w:rtl/>
              </w:rPr>
              <w:tab/>
            </w:r>
            <w:r>
              <w:rPr>
                <w:rFonts w:hint="cs"/>
                <w:rtl/>
              </w:rPr>
              <w:t>קביעת אגרות עבור לקיחת דגימת ה-</w:t>
            </w:r>
            <w:r>
              <w:t>DNA</w:t>
            </w:r>
            <w:r>
              <w:rPr>
                <w:rFonts w:hint="cs"/>
                <w:rtl/>
              </w:rPr>
              <w:t>, ביצוע הבדיקה הגנטית לקשרי משפחה וקבלת מידע ממאגר המידע;</w:t>
            </w:r>
          </w:p>
        </w:tc>
      </w:tr>
      <w:tr w:rsidR="00A154B5" w14:paraId="1C2F439F" w14:textId="77777777" w:rsidTr="00923A47">
        <w:trPr>
          <w:cantSplit/>
        </w:trPr>
        <w:tc>
          <w:tcPr>
            <w:tcW w:w="1869" w:type="dxa"/>
          </w:tcPr>
          <w:p w14:paraId="4B7730D8" w14:textId="77777777" w:rsidR="00A154B5" w:rsidRDefault="00A154B5" w:rsidP="00994C42">
            <w:pPr>
              <w:pStyle w:val="TableSideHeading"/>
              <w:rPr>
                <w:rtl/>
              </w:rPr>
            </w:pPr>
          </w:p>
        </w:tc>
        <w:tc>
          <w:tcPr>
            <w:tcW w:w="624" w:type="dxa"/>
          </w:tcPr>
          <w:p w14:paraId="3699AF80" w14:textId="77777777" w:rsidR="00A154B5" w:rsidRDefault="00A154B5" w:rsidP="00994C42">
            <w:pPr>
              <w:pStyle w:val="TableText"/>
            </w:pPr>
          </w:p>
        </w:tc>
        <w:tc>
          <w:tcPr>
            <w:tcW w:w="1872" w:type="dxa"/>
          </w:tcPr>
          <w:p w14:paraId="40EEA3F5" w14:textId="77777777" w:rsidR="00A154B5" w:rsidRDefault="00A154B5" w:rsidP="00994C42">
            <w:pPr>
              <w:pStyle w:val="TableInnerSideHeading"/>
            </w:pPr>
          </w:p>
        </w:tc>
        <w:tc>
          <w:tcPr>
            <w:tcW w:w="624" w:type="dxa"/>
          </w:tcPr>
          <w:p w14:paraId="1E14BB68" w14:textId="77777777" w:rsidR="00A154B5" w:rsidRDefault="00A154B5" w:rsidP="00994C42">
            <w:pPr>
              <w:pStyle w:val="TableText"/>
            </w:pPr>
          </w:p>
        </w:tc>
        <w:tc>
          <w:tcPr>
            <w:tcW w:w="4647" w:type="dxa"/>
          </w:tcPr>
          <w:p w14:paraId="1C66509C" w14:textId="77777777" w:rsidR="00A154B5" w:rsidRDefault="00A154B5" w:rsidP="00923A47">
            <w:pPr>
              <w:pStyle w:val="TableBlock"/>
              <w:rPr>
                <w:rtl/>
              </w:rPr>
            </w:pPr>
            <w:r>
              <w:rPr>
                <w:rFonts w:hint="cs"/>
                <w:rtl/>
              </w:rPr>
              <w:t>(5)</w:t>
            </w:r>
            <w:r>
              <w:rPr>
                <w:rtl/>
              </w:rPr>
              <w:tab/>
            </w:r>
            <w:r>
              <w:rPr>
                <w:rFonts w:hint="cs"/>
                <w:rtl/>
              </w:rPr>
              <w:t>מקרים שבהם אדם יהיה פטור מאגרה לפי פסקה (4)."</w:t>
            </w:r>
          </w:p>
        </w:tc>
      </w:tr>
      <w:tr w:rsidR="00A154B5" w14:paraId="21FD72B4" w14:textId="77777777" w:rsidTr="00923A47">
        <w:trPr>
          <w:cantSplit/>
        </w:trPr>
        <w:tc>
          <w:tcPr>
            <w:tcW w:w="1869" w:type="dxa"/>
          </w:tcPr>
          <w:p w14:paraId="5C41E129" w14:textId="77777777" w:rsidR="00A154B5" w:rsidRDefault="00A154B5" w:rsidP="00994C42">
            <w:pPr>
              <w:pStyle w:val="TableSideHeading"/>
            </w:pPr>
            <w:r>
              <w:rPr>
                <w:rFonts w:hint="cs"/>
                <w:rtl/>
              </w:rPr>
              <w:t>תיקון סעיף 38</w:t>
            </w:r>
          </w:p>
        </w:tc>
        <w:tc>
          <w:tcPr>
            <w:tcW w:w="624" w:type="dxa"/>
          </w:tcPr>
          <w:p w14:paraId="6667B6C9" w14:textId="77777777" w:rsidR="00A154B5" w:rsidRDefault="00A154B5" w:rsidP="00994C42">
            <w:pPr>
              <w:pStyle w:val="TableText"/>
            </w:pPr>
            <w:r>
              <w:rPr>
                <w:rFonts w:hint="cs"/>
                <w:rtl/>
              </w:rPr>
              <w:t>2.</w:t>
            </w:r>
          </w:p>
        </w:tc>
        <w:tc>
          <w:tcPr>
            <w:tcW w:w="7143" w:type="dxa"/>
            <w:gridSpan w:val="3"/>
          </w:tcPr>
          <w:p w14:paraId="33DC3581" w14:textId="77777777" w:rsidR="00A154B5" w:rsidRPr="00C34DE2" w:rsidRDefault="00A154B5" w:rsidP="00923A47">
            <w:pPr>
              <w:pStyle w:val="TableBlock"/>
            </w:pPr>
            <w:r>
              <w:rPr>
                <w:rFonts w:hint="cs"/>
                <w:rtl/>
              </w:rPr>
              <w:t>בסעיף 38(א)(1) לחוק העיקרי, במקום "או 23" יבוא " 23 או 28כב".</w:t>
            </w:r>
          </w:p>
        </w:tc>
      </w:tr>
    </w:tbl>
    <w:p w14:paraId="132618E4" w14:textId="77777777" w:rsidR="00A154B5" w:rsidRDefault="00A154B5" w:rsidP="00A154B5">
      <w:pPr>
        <w:pStyle w:val="HeadDivreiHesber"/>
        <w:rPr>
          <w:rtl/>
        </w:rPr>
      </w:pPr>
      <w:r w:rsidRPr="0027450A">
        <w:rPr>
          <w:rFonts w:hint="cs"/>
          <w:rtl/>
        </w:rPr>
        <w:t>דברי הסבר</w:t>
      </w:r>
    </w:p>
    <w:p w14:paraId="3795B0D4" w14:textId="77777777" w:rsidR="00A154B5" w:rsidRPr="00BE7755" w:rsidRDefault="00A154B5" w:rsidP="00A154B5">
      <w:pPr>
        <w:pStyle w:val="Hesber"/>
        <w:rPr>
          <w:rtl/>
        </w:rPr>
      </w:pPr>
      <w:r w:rsidRPr="00BE7755">
        <w:rPr>
          <w:rFonts w:hint="cs"/>
          <w:rtl/>
        </w:rPr>
        <w:t>פרשת היעלמותם של ילדים מבין עולי תימן היא פרשה שעדיין מסעירה את החברה הישראלית מאז קום המדינה, גם לאחר מספר ועדות חקירה בעניין שהאחרונה שבהן הית</w:t>
      </w:r>
      <w:r w:rsidRPr="00BE7755">
        <w:rPr>
          <w:rFonts w:hint="eastAsia"/>
          <w:rtl/>
        </w:rPr>
        <w:t>ה</w:t>
      </w:r>
      <w:r w:rsidRPr="00BE7755">
        <w:rPr>
          <w:rFonts w:hint="cs"/>
          <w:rtl/>
        </w:rPr>
        <w:t xml:space="preserve"> בשנת 2001 (ועדת החקירה הממלכתית בעניין פרשת היעלמותם של ילדים מבין עולי תימן בשנים 1954-1948; להלן- ועדת החקירה).</w:t>
      </w:r>
    </w:p>
    <w:p w14:paraId="04AD923B" w14:textId="77777777" w:rsidR="00A154B5" w:rsidRPr="00BE7755" w:rsidRDefault="00A154B5" w:rsidP="00A154B5">
      <w:pPr>
        <w:pStyle w:val="Hesber"/>
        <w:rPr>
          <w:rtl/>
        </w:rPr>
      </w:pPr>
      <w:r w:rsidRPr="00BE7755">
        <w:rPr>
          <w:rFonts w:hint="eastAsia"/>
          <w:rtl/>
        </w:rPr>
        <w:t>בשנים</w:t>
      </w:r>
      <w:r w:rsidRPr="00BE7755">
        <w:rPr>
          <w:rtl/>
        </w:rPr>
        <w:t xml:space="preserve"> </w:t>
      </w:r>
      <w:r w:rsidRPr="00BE7755">
        <w:rPr>
          <w:rFonts w:hint="eastAsia"/>
          <w:rtl/>
        </w:rPr>
        <w:t>האחרונות</w:t>
      </w:r>
      <w:r w:rsidRPr="00BE7755">
        <w:rPr>
          <w:rtl/>
        </w:rPr>
        <w:t xml:space="preserve"> </w:t>
      </w:r>
      <w:r w:rsidRPr="00BE7755">
        <w:rPr>
          <w:rFonts w:hint="cs"/>
          <w:rtl/>
        </w:rPr>
        <w:t>עלה הנושא על סדר היום הציבורי מחדש</w:t>
      </w:r>
      <w:r w:rsidRPr="00BE7755">
        <w:rPr>
          <w:rtl/>
        </w:rPr>
        <w:t xml:space="preserve">, </w:t>
      </w:r>
      <w:r w:rsidRPr="00BE7755">
        <w:rPr>
          <w:rFonts w:hint="eastAsia"/>
          <w:rtl/>
        </w:rPr>
        <w:t>בין</w:t>
      </w:r>
      <w:r w:rsidRPr="00BE7755">
        <w:rPr>
          <w:rtl/>
        </w:rPr>
        <w:t xml:space="preserve"> </w:t>
      </w:r>
      <w:r w:rsidRPr="00BE7755">
        <w:rPr>
          <w:rFonts w:hint="eastAsia"/>
          <w:rtl/>
        </w:rPr>
        <w:t>היתר</w:t>
      </w:r>
      <w:r w:rsidRPr="00BE7755">
        <w:rPr>
          <w:rFonts w:hint="cs"/>
          <w:rtl/>
        </w:rPr>
        <w:t xml:space="preserve"> עם פרסום הפרוטוקולים ומסקנות וועדת החקירה בסוף שנת 2016 ו</w:t>
      </w:r>
      <w:r w:rsidRPr="00BE7755">
        <w:rPr>
          <w:rFonts w:hint="eastAsia"/>
          <w:rtl/>
        </w:rPr>
        <w:t>עם</w:t>
      </w:r>
      <w:r w:rsidRPr="00BE7755">
        <w:rPr>
          <w:rtl/>
        </w:rPr>
        <w:t xml:space="preserve"> </w:t>
      </w:r>
      <w:r w:rsidRPr="00BE7755">
        <w:rPr>
          <w:rFonts w:hint="eastAsia"/>
          <w:rtl/>
        </w:rPr>
        <w:t>הקמתה</w:t>
      </w:r>
      <w:r w:rsidRPr="00BE7755">
        <w:rPr>
          <w:rtl/>
        </w:rPr>
        <w:t xml:space="preserve">, </w:t>
      </w:r>
      <w:r w:rsidRPr="00BE7755">
        <w:rPr>
          <w:rFonts w:hint="eastAsia"/>
          <w:rtl/>
        </w:rPr>
        <w:t>בכנסת</w:t>
      </w:r>
      <w:r w:rsidRPr="00BE7755">
        <w:rPr>
          <w:rtl/>
        </w:rPr>
        <w:t xml:space="preserve"> </w:t>
      </w:r>
      <w:r w:rsidRPr="00BE7755">
        <w:rPr>
          <w:rFonts w:hint="eastAsia"/>
          <w:rtl/>
        </w:rPr>
        <w:t>העשרים</w:t>
      </w:r>
      <w:r w:rsidRPr="00BE7755">
        <w:rPr>
          <w:rFonts w:hint="cs"/>
          <w:rtl/>
        </w:rPr>
        <w:t>,</w:t>
      </w:r>
      <w:r w:rsidRPr="00BE7755">
        <w:rPr>
          <w:rtl/>
        </w:rPr>
        <w:t xml:space="preserve"> של </w:t>
      </w:r>
      <w:r w:rsidRPr="00BE7755">
        <w:rPr>
          <w:rFonts w:hint="eastAsia"/>
          <w:rtl/>
        </w:rPr>
        <w:t>הוועדה</w:t>
      </w:r>
      <w:r w:rsidRPr="00BE7755">
        <w:rPr>
          <w:rtl/>
        </w:rPr>
        <w:t xml:space="preserve"> </w:t>
      </w:r>
      <w:r w:rsidRPr="00BE7755">
        <w:rPr>
          <w:rFonts w:hint="eastAsia"/>
          <w:rtl/>
        </w:rPr>
        <w:t>המיוחדת</w:t>
      </w:r>
      <w:r w:rsidRPr="00BE7755">
        <w:rPr>
          <w:rtl/>
        </w:rPr>
        <w:t xml:space="preserve"> </w:t>
      </w:r>
      <w:r w:rsidRPr="00BE7755">
        <w:rPr>
          <w:rFonts w:hint="eastAsia"/>
          <w:rtl/>
        </w:rPr>
        <w:t>לפרשת</w:t>
      </w:r>
      <w:r w:rsidRPr="00BE7755">
        <w:rPr>
          <w:rtl/>
        </w:rPr>
        <w:t xml:space="preserve"> </w:t>
      </w:r>
      <w:r w:rsidRPr="00BE7755">
        <w:rPr>
          <w:rFonts w:hint="eastAsia"/>
          <w:rtl/>
        </w:rPr>
        <w:t>היעלמותם</w:t>
      </w:r>
      <w:r w:rsidRPr="00BE7755">
        <w:rPr>
          <w:rtl/>
        </w:rPr>
        <w:t xml:space="preserve"> </w:t>
      </w:r>
      <w:r w:rsidRPr="00BE7755">
        <w:rPr>
          <w:rFonts w:hint="eastAsia"/>
          <w:rtl/>
        </w:rPr>
        <w:t>של</w:t>
      </w:r>
      <w:r w:rsidRPr="00BE7755">
        <w:rPr>
          <w:rtl/>
        </w:rPr>
        <w:t xml:space="preserve"> </w:t>
      </w:r>
      <w:r w:rsidRPr="00BE7755">
        <w:rPr>
          <w:rFonts w:hint="eastAsia"/>
          <w:rtl/>
        </w:rPr>
        <w:t>ילדי</w:t>
      </w:r>
      <w:r w:rsidRPr="00BE7755">
        <w:rPr>
          <w:rtl/>
        </w:rPr>
        <w:t xml:space="preserve"> </w:t>
      </w:r>
      <w:r w:rsidRPr="00BE7755">
        <w:rPr>
          <w:rFonts w:hint="eastAsia"/>
          <w:rtl/>
        </w:rPr>
        <w:t>תימן</w:t>
      </w:r>
      <w:r w:rsidRPr="00BE7755">
        <w:rPr>
          <w:rtl/>
        </w:rPr>
        <w:t xml:space="preserve">, </w:t>
      </w:r>
      <w:r w:rsidRPr="00BE7755">
        <w:rPr>
          <w:rFonts w:hint="eastAsia"/>
          <w:rtl/>
        </w:rPr>
        <w:t>מזרח</w:t>
      </w:r>
      <w:r w:rsidRPr="00BE7755">
        <w:rPr>
          <w:rtl/>
        </w:rPr>
        <w:t xml:space="preserve"> </w:t>
      </w:r>
      <w:r w:rsidRPr="00BE7755">
        <w:rPr>
          <w:rFonts w:hint="eastAsia"/>
          <w:rtl/>
        </w:rPr>
        <w:t>והבלקן</w:t>
      </w:r>
      <w:r w:rsidRPr="00BE7755">
        <w:rPr>
          <w:rFonts w:hint="cs"/>
          <w:rtl/>
        </w:rPr>
        <w:t xml:space="preserve"> (להלן- הוועדה המיוחדת) והגילויים שעלו מדיוניה.  התגובה הציבורית למידע שעלה ממסמכי ועדת החקירה ודיוני הוועדה המיוחדת מעידה שהפצע טרם הגליד ולרבים מקרב עולי תימן ואף מתפוצות אחרות סיפורים בעלי מאפיינים דומים שבהם נאמר למשפחה של ילוד או של פעוט, שהובא לטיפול רפואי, שהוא נפטר בלי שבני המשפחה ראו את גופת היילוד או הפעוט </w:t>
      </w:r>
      <w:r w:rsidRPr="00BE7755">
        <w:rPr>
          <w:rtl/>
        </w:rPr>
        <w:t>–</w:t>
      </w:r>
      <w:r w:rsidRPr="00BE7755">
        <w:rPr>
          <w:rFonts w:hint="cs"/>
          <w:rtl/>
        </w:rPr>
        <w:t xml:space="preserve"> ולמעשה, אותו יילוד או פעוט נמסרו לזוגות חשוכי ילדים. </w:t>
      </w:r>
    </w:p>
    <w:p w14:paraId="11CF936A" w14:textId="77777777" w:rsidR="00A154B5" w:rsidRPr="00BE7755" w:rsidRDefault="00A154B5" w:rsidP="00A154B5">
      <w:pPr>
        <w:pStyle w:val="Hesber"/>
        <w:rPr>
          <w:rtl/>
        </w:rPr>
      </w:pPr>
      <w:r w:rsidRPr="00BE7755">
        <w:rPr>
          <w:rFonts w:hint="cs"/>
          <w:rtl/>
        </w:rPr>
        <w:t xml:space="preserve">דוח ועדת החקירה הממלכתית לא מצא ממצאים חד משמעיים שתומכים בטענה שהעלו אנשים מקרב עולי תימן, ובהצעת חוק זו מוצע להשתמש בידע הטכנולוגי המצוי ברשותנו כדי להקים מאגר מידע שבו ירוכזו ויוצלבו דגימות </w:t>
      </w:r>
      <w:r w:rsidRPr="00BE7755">
        <w:rPr>
          <w:rFonts w:hint="cs"/>
        </w:rPr>
        <w:t>DNA</w:t>
      </w:r>
      <w:r w:rsidRPr="00BE7755">
        <w:rPr>
          <w:rFonts w:hint="cs"/>
          <w:rtl/>
        </w:rPr>
        <w:t xml:space="preserve"> שיתנו אנשים שסבורים, שהם או קרוביהם הוצאו מרשות משפחותיהם שלא כדין, כדי לבדוק באמצעים אובייקטיביים האם יש ביסוס לטענות שעמדו בבסיס הקמת ועדת החקירה הממלכתית מחד גיסא, ולאחד בין מוסרי הדגימה ככל שמתקיימים ביניהם קשרי משפחה, מאידך גיסא. </w:t>
      </w:r>
    </w:p>
    <w:p w14:paraId="635702E7" w14:textId="77777777" w:rsidR="00A154B5" w:rsidRPr="00BE7755" w:rsidRDefault="00A154B5" w:rsidP="00A154B5">
      <w:pPr>
        <w:pStyle w:val="Hesber"/>
        <w:rPr>
          <w:rtl/>
        </w:rPr>
      </w:pPr>
      <w:r w:rsidRPr="00BE7755">
        <w:rPr>
          <w:rtl/>
        </w:rPr>
        <w:t xml:space="preserve">מוצע </w:t>
      </w:r>
      <w:r w:rsidRPr="00BE7755">
        <w:rPr>
          <w:rFonts w:hint="cs"/>
          <w:rtl/>
        </w:rPr>
        <w:t xml:space="preserve">שמאגר המידע הגנטי יוקם במשרד הבריאות או בבית חולים רשום ובו יהיו רשאים בגירים לתת דגימת </w:t>
      </w:r>
      <w:r w:rsidRPr="00BE7755">
        <w:rPr>
          <w:rFonts w:hint="cs"/>
        </w:rPr>
        <w:t>DNA</w:t>
      </w:r>
      <w:r w:rsidRPr="00BE7755">
        <w:rPr>
          <w:rFonts w:hint="cs"/>
          <w:rtl/>
        </w:rPr>
        <w:t xml:space="preserve"> לשם ביצוע בדיקה גנטית לקשרי משפחה שתוצלב עם דגימות </w:t>
      </w:r>
      <w:r w:rsidRPr="00BE7755">
        <w:rPr>
          <w:rFonts w:hint="cs"/>
        </w:rPr>
        <w:t>DNA</w:t>
      </w:r>
      <w:r w:rsidRPr="00BE7755">
        <w:rPr>
          <w:rFonts w:hint="cs"/>
          <w:rtl/>
        </w:rPr>
        <w:t xml:space="preserve"> שיתנו בגירים אחרים </w:t>
      </w:r>
      <w:r w:rsidRPr="00BE7755">
        <w:rPr>
          <w:rtl/>
        </w:rPr>
        <w:t>–</w:t>
      </w:r>
      <w:r w:rsidRPr="00BE7755">
        <w:rPr>
          <w:rFonts w:hint="cs"/>
          <w:rtl/>
        </w:rPr>
        <w:t xml:space="preserve"> והכל ליישום מטרת הפרק המוצע.</w:t>
      </w:r>
    </w:p>
    <w:p w14:paraId="1C173701" w14:textId="77777777" w:rsidR="00A154B5" w:rsidRPr="00BE7755" w:rsidRDefault="00A154B5" w:rsidP="00A154B5">
      <w:pPr>
        <w:pStyle w:val="Hesber"/>
        <w:rPr>
          <w:rtl/>
        </w:rPr>
      </w:pPr>
      <w:r w:rsidRPr="00BE7755">
        <w:rPr>
          <w:rFonts w:hint="cs"/>
          <w:rtl/>
        </w:rPr>
        <w:t xml:space="preserve">אדם שנתן דגימת </w:t>
      </w:r>
      <w:r w:rsidRPr="00BE7755">
        <w:rPr>
          <w:rFonts w:hint="cs"/>
        </w:rPr>
        <w:t>DNA</w:t>
      </w:r>
      <w:r w:rsidRPr="00BE7755">
        <w:rPr>
          <w:rFonts w:hint="cs"/>
          <w:rtl/>
        </w:rPr>
        <w:t xml:space="preserve"> יהיה זכאי לברר אם מתקיימת התאמה עם אנשים אחרים שמסרו דגימת </w:t>
      </w:r>
      <w:r w:rsidRPr="00BE7755">
        <w:rPr>
          <w:rFonts w:hint="cs"/>
        </w:rPr>
        <w:t>DNA</w:t>
      </w:r>
      <w:r w:rsidRPr="00BE7755">
        <w:rPr>
          <w:rFonts w:hint="cs"/>
          <w:rtl/>
        </w:rPr>
        <w:t xml:space="preserve"> למאגר, אולם מאגר המידע יהיה רשאי שלא להעביר מידע ממאגר המידע לאדם שנתן דגימת </w:t>
      </w:r>
      <w:r w:rsidRPr="00BE7755">
        <w:rPr>
          <w:rFonts w:hint="cs"/>
        </w:rPr>
        <w:t>DNA</w:t>
      </w:r>
      <w:r w:rsidRPr="00BE7755">
        <w:rPr>
          <w:rFonts w:hint="cs"/>
          <w:rtl/>
        </w:rPr>
        <w:t xml:space="preserve"> אם מסירת המידע עלולה </w:t>
      </w:r>
      <w:r w:rsidRPr="00BE7755">
        <w:rPr>
          <w:rtl/>
        </w:rPr>
        <w:t>לגרום נזק חמור לבריאותו הגופנית או הנפשית של ה</w:t>
      </w:r>
      <w:r w:rsidRPr="00BE7755">
        <w:rPr>
          <w:rFonts w:hint="cs"/>
          <w:rtl/>
        </w:rPr>
        <w:t xml:space="preserve">אדם </w:t>
      </w:r>
      <w:r w:rsidRPr="00BE7755">
        <w:rPr>
          <w:rtl/>
        </w:rPr>
        <w:t>או לסכן את חיי</w:t>
      </w:r>
      <w:r w:rsidRPr="00BE7755">
        <w:rPr>
          <w:rFonts w:hint="cs"/>
          <w:rtl/>
        </w:rPr>
        <w:t xml:space="preserve">ו. </w:t>
      </w:r>
    </w:p>
    <w:p w14:paraId="41A5E819" w14:textId="61681D6D" w:rsidR="00A154B5" w:rsidRDefault="00A154B5" w:rsidP="00A154B5">
      <w:pPr>
        <w:pStyle w:val="Hesber"/>
        <w:rPr>
          <w:rtl/>
        </w:rPr>
      </w:pPr>
      <w:r w:rsidRPr="00BE7755">
        <w:rPr>
          <w:rFonts w:hint="cs"/>
          <w:rtl/>
        </w:rPr>
        <w:t xml:space="preserve">כן מוצע להסמיך את שר הבריאות, באישור ועדת המדע והטכנולוגיה של הכנסת, לקבוע תקנות </w:t>
      </w:r>
      <w:r w:rsidRPr="00BE7755">
        <w:rPr>
          <w:rFonts w:hint="cs"/>
          <w:rtl/>
        </w:rPr>
        <w:lastRenderedPageBreak/>
        <w:t xml:space="preserve">ליישום הפרק המוצע, לרבות קביעת אגרות ופטור מהן. </w:t>
      </w:r>
      <w:r w:rsidRPr="00BE7755">
        <w:rPr>
          <w:rtl/>
        </w:rPr>
        <w:t xml:space="preserve"> </w:t>
      </w:r>
    </w:p>
    <w:p w14:paraId="723DD462" w14:textId="0B9FE696" w:rsidR="002A042D" w:rsidRPr="00BE7755" w:rsidRDefault="002A042D" w:rsidP="00A154B5">
      <w:pPr>
        <w:pStyle w:val="Hesber"/>
        <w:rPr>
          <w:rtl/>
        </w:rPr>
      </w:pPr>
      <w:r>
        <w:rPr>
          <w:rFonts w:hint="cs"/>
          <w:rtl/>
        </w:rPr>
        <w:t>הצעת חוק זהה הונחה על שולחן הכנסת העשרים ושלוש על ידי משה גפני וקבוצת חברי הכנסת (פ/2261/23).</w:t>
      </w:r>
    </w:p>
    <w:p w14:paraId="323EA87F" w14:textId="050E6201" w:rsidR="00A154B5" w:rsidRDefault="00A154B5" w:rsidP="002A042D">
      <w:pPr>
        <w:pStyle w:val="Hesber"/>
        <w:rPr>
          <w:rtl/>
        </w:rPr>
      </w:pPr>
      <w:r w:rsidRPr="00BE7755">
        <w:rPr>
          <w:rtl/>
        </w:rPr>
        <w:t xml:space="preserve">הצעות חוק </w:t>
      </w:r>
      <w:r w:rsidRPr="00BE7755">
        <w:rPr>
          <w:rFonts w:hint="cs"/>
          <w:rtl/>
        </w:rPr>
        <w:t>דומות</w:t>
      </w:r>
      <w:r w:rsidRPr="00BE7755">
        <w:rPr>
          <w:rtl/>
        </w:rPr>
        <w:t xml:space="preserve"> </w:t>
      </w:r>
      <w:r w:rsidRPr="00BE7755">
        <w:rPr>
          <w:rFonts w:hint="cs"/>
          <w:rtl/>
        </w:rPr>
        <w:t xml:space="preserve">בעיקרן </w:t>
      </w:r>
      <w:r w:rsidRPr="00BE7755">
        <w:rPr>
          <w:rtl/>
        </w:rPr>
        <w:t xml:space="preserve">הונחו על שולחן הכנסת החמש-עשרה על ידי חבר הכנסת צבי הנדל וקבוצת חברי </w:t>
      </w:r>
      <w:r w:rsidRPr="00BE7755">
        <w:rPr>
          <w:rFonts w:hint="cs"/>
          <w:rtl/>
        </w:rPr>
        <w:t>ה</w:t>
      </w:r>
      <w:r w:rsidRPr="00BE7755">
        <w:rPr>
          <w:rtl/>
        </w:rPr>
        <w:t>כנסת (פ/</w:t>
      </w:r>
      <w:r w:rsidRPr="00BE7755">
        <w:rPr>
          <w:rFonts w:hint="cs"/>
          <w:rtl/>
        </w:rPr>
        <w:t>3389</w:t>
      </w:r>
      <w:r w:rsidRPr="00BE7755">
        <w:rPr>
          <w:rtl/>
        </w:rPr>
        <w:t>)</w:t>
      </w:r>
      <w:r w:rsidRPr="00BE7755">
        <w:rPr>
          <w:rFonts w:hint="cs"/>
          <w:rtl/>
        </w:rPr>
        <w:t xml:space="preserve">, </w:t>
      </w:r>
      <w:r w:rsidRPr="00BE7755">
        <w:rPr>
          <w:rtl/>
        </w:rPr>
        <w:t>על שולחן הכנסת השש</w:t>
      </w:r>
      <w:r w:rsidRPr="00BE7755">
        <w:rPr>
          <w:rFonts w:hint="cs"/>
          <w:rtl/>
        </w:rPr>
        <w:t>-</w:t>
      </w:r>
      <w:r w:rsidRPr="00BE7755">
        <w:rPr>
          <w:rtl/>
        </w:rPr>
        <w:t>עשרה על ידי חבר</w:t>
      </w:r>
      <w:r w:rsidRPr="00BE7755">
        <w:rPr>
          <w:rFonts w:hint="cs"/>
          <w:rtl/>
        </w:rPr>
        <w:t>י</w:t>
      </w:r>
      <w:r w:rsidRPr="00BE7755">
        <w:rPr>
          <w:rtl/>
        </w:rPr>
        <w:t xml:space="preserve"> הכנסת מיכאל נודלמן</w:t>
      </w:r>
      <w:r w:rsidRPr="00BE7755">
        <w:rPr>
          <w:rFonts w:hint="cs"/>
          <w:rtl/>
        </w:rPr>
        <w:t xml:space="preserve"> ויורי שטרן</w:t>
      </w:r>
      <w:r w:rsidRPr="00BE7755">
        <w:rPr>
          <w:rtl/>
        </w:rPr>
        <w:t xml:space="preserve"> (פ/</w:t>
      </w:r>
      <w:r w:rsidRPr="00BE7755">
        <w:rPr>
          <w:rFonts w:hint="cs"/>
          <w:rtl/>
        </w:rPr>
        <w:t>486</w:t>
      </w:r>
      <w:r w:rsidRPr="00BE7755">
        <w:rPr>
          <w:rtl/>
        </w:rPr>
        <w:t>) ועל ידי חבר הכנסת צבי הנדל (פ/</w:t>
      </w:r>
      <w:r w:rsidRPr="00BE7755">
        <w:rPr>
          <w:rFonts w:hint="cs"/>
          <w:rtl/>
        </w:rPr>
        <w:t>2663</w:t>
      </w:r>
      <w:r w:rsidRPr="00BE7755">
        <w:rPr>
          <w:rtl/>
        </w:rPr>
        <w:t>)</w:t>
      </w:r>
      <w:r w:rsidR="002A042D">
        <w:rPr>
          <w:rFonts w:hint="cs"/>
          <w:rtl/>
        </w:rPr>
        <w:t xml:space="preserve"> ו</w:t>
      </w:r>
      <w:r>
        <w:rPr>
          <w:rFonts w:hint="cs"/>
          <w:rtl/>
        </w:rPr>
        <w:t xml:space="preserve">על </w:t>
      </w:r>
      <w:r w:rsidRPr="00BE7755">
        <w:rPr>
          <w:rtl/>
        </w:rPr>
        <w:t>שולחן הכנסת ה</w:t>
      </w:r>
      <w:r w:rsidRPr="00BE7755">
        <w:rPr>
          <w:rFonts w:hint="cs"/>
          <w:rtl/>
        </w:rPr>
        <w:t>עשרים</w:t>
      </w:r>
      <w:r w:rsidRPr="00BE7755">
        <w:rPr>
          <w:rtl/>
        </w:rPr>
        <w:t xml:space="preserve"> על ידי חבר הכנסת</w:t>
      </w:r>
      <w:r w:rsidRPr="00BE7755">
        <w:rPr>
          <w:rFonts w:hint="cs"/>
          <w:rtl/>
        </w:rPr>
        <w:t xml:space="preserve"> אורי מקל</w:t>
      </w:r>
      <w:r>
        <w:rPr>
          <w:rFonts w:hint="cs"/>
          <w:rtl/>
        </w:rPr>
        <w:t>ב וקבוצת חברי הכנסת (פ/3638/20)</w:t>
      </w:r>
      <w:r w:rsidR="002A042D">
        <w:rPr>
          <w:rFonts w:hint="cs"/>
          <w:rtl/>
        </w:rPr>
        <w:t>.</w:t>
      </w:r>
    </w:p>
    <w:p w14:paraId="7F6961CB" w14:textId="5EC9A41C" w:rsidR="00E13C27" w:rsidRDefault="002A042D" w:rsidP="00B43712">
      <w:pPr>
        <w:pStyle w:val="Hesber"/>
        <w:rPr>
          <w:rtl/>
        </w:rPr>
      </w:pPr>
      <w:r>
        <w:rPr>
          <w:rFonts w:hint="cs"/>
          <w:rtl/>
        </w:rPr>
        <w:t xml:space="preserve">הצעת החוק זהה לפ/2261/23 ולפיכך לא נבדקה </w:t>
      </w:r>
      <w:r w:rsidR="00B43712">
        <w:rPr>
          <w:rFonts w:hint="cs"/>
          <w:rtl/>
        </w:rPr>
        <w:t>מחדש</w:t>
      </w:r>
      <w:bookmarkStart w:id="8" w:name="_GoBack"/>
      <w:bookmarkEnd w:id="8"/>
      <w:r>
        <w:rPr>
          <w:rFonts w:hint="cs"/>
          <w:rtl/>
        </w:rPr>
        <w:t xml:space="preserve"> על ידי הלשכה המשפטית של הכנסת. </w:t>
      </w:r>
    </w:p>
    <w:p w14:paraId="12F680DD" w14:textId="3845CD31" w:rsidR="00923A47" w:rsidRDefault="00923A47" w:rsidP="00A154B5">
      <w:pPr>
        <w:pStyle w:val="Hesber"/>
        <w:rPr>
          <w:rtl/>
        </w:rPr>
      </w:pPr>
    </w:p>
    <w:p w14:paraId="68DDA312" w14:textId="77777777" w:rsidR="00923A47" w:rsidRDefault="00923A47" w:rsidP="00A154B5">
      <w:pPr>
        <w:pStyle w:val="Hesber"/>
        <w:rPr>
          <w:rtl/>
        </w:rPr>
      </w:pPr>
    </w:p>
    <w:p w14:paraId="48DAACDE" w14:textId="77777777" w:rsidR="005B6F03" w:rsidRDefault="00507E61">
      <w:pPr>
        <w:jc w:val="left"/>
      </w:pPr>
      <w:bookmarkStart w:id="9" w:name="selectedDocDateB"/>
      <w:bookmarkEnd w:id="9"/>
      <w:r>
        <w:rPr>
          <w:rFonts w:eastAsia="David" w:hint="cs"/>
          <w:sz w:val="26"/>
          <w:szCs w:val="26"/>
          <w:rtl/>
        </w:rPr>
        <w:t>--------------------------------</w:t>
      </w:r>
    </w:p>
    <w:p w14:paraId="08269DB7" w14:textId="77777777" w:rsidR="005B6F03" w:rsidRDefault="00507E61">
      <w:pPr>
        <w:jc w:val="left"/>
      </w:pPr>
      <w:r>
        <w:rPr>
          <w:rFonts w:eastAsia="David" w:hint="cs"/>
          <w:sz w:val="26"/>
          <w:szCs w:val="26"/>
          <w:rtl/>
        </w:rPr>
        <w:t>הוגשה ליו"ר הכנסת והסגנים</w:t>
      </w:r>
    </w:p>
    <w:p w14:paraId="4C7D1985" w14:textId="77777777" w:rsidR="005B6F03" w:rsidRDefault="00507E61">
      <w:pPr>
        <w:jc w:val="left"/>
      </w:pPr>
      <w:r>
        <w:rPr>
          <w:rFonts w:eastAsia="David" w:hint="cs"/>
          <w:sz w:val="26"/>
          <w:szCs w:val="26"/>
          <w:rtl/>
        </w:rPr>
        <w:t>והונחה על שולחן הכנסת ביום</w:t>
      </w:r>
    </w:p>
    <w:p w14:paraId="7648EB50" w14:textId="77777777" w:rsidR="005B6F03" w:rsidRDefault="00507E61">
      <w:pPr>
        <w:jc w:val="left"/>
      </w:pPr>
      <w:r>
        <w:rPr>
          <w:rFonts w:eastAsia="David" w:hint="cs"/>
          <w:sz w:val="26"/>
          <w:szCs w:val="26"/>
          <w:rtl/>
        </w:rPr>
        <w:t xml:space="preserve">ד' באדר ב' התשפ"ב (07.03.2022) </w:t>
      </w:r>
    </w:p>
    <w:p w14:paraId="24360E98" w14:textId="77777777" w:rsidR="005B6F03" w:rsidRDefault="005B6F03">
      <w:pPr>
        <w:spacing w:line="276" w:lineRule="auto"/>
        <w:jc w:val="left"/>
      </w:pPr>
    </w:p>
    <w:sectPr w:rsidR="005B6F03" w:rsidSect="00923A47">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3173ADE4"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43712">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923A47">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344B296" w14:textId="77777777" w:rsidR="00A154B5" w:rsidRDefault="00A154B5" w:rsidP="00A154B5">
      <w:pPr>
        <w:pStyle w:val="a4"/>
      </w:pPr>
      <w:r>
        <w:rPr>
          <w:rStyle w:val="a6"/>
        </w:rPr>
        <w:footnoteRef/>
      </w:r>
      <w:r>
        <w:rPr>
          <w:rtl/>
        </w:rPr>
        <w:t xml:space="preserve"> </w:t>
      </w:r>
      <w:r>
        <w:rPr>
          <w:rFonts w:hint="cs"/>
          <w:rtl/>
        </w:rPr>
        <w:t>ס"ח התשס"א, עמ'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4677D"/>
    <w:rsid w:val="00251E58"/>
    <w:rsid w:val="00254605"/>
    <w:rsid w:val="00266D86"/>
    <w:rsid w:val="002728B4"/>
    <w:rsid w:val="0027600C"/>
    <w:rsid w:val="00292712"/>
    <w:rsid w:val="002A042D"/>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07E61"/>
    <w:rsid w:val="00553C9D"/>
    <w:rsid w:val="00562A66"/>
    <w:rsid w:val="005B064E"/>
    <w:rsid w:val="005B6F03"/>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A47"/>
    <w:rsid w:val="00923CD4"/>
    <w:rsid w:val="00930EFE"/>
    <w:rsid w:val="00943386"/>
    <w:rsid w:val="009456B6"/>
    <w:rsid w:val="00957589"/>
    <w:rsid w:val="00966D06"/>
    <w:rsid w:val="00982412"/>
    <w:rsid w:val="00983A8D"/>
    <w:rsid w:val="009A0DB8"/>
    <w:rsid w:val="009A7257"/>
    <w:rsid w:val="009D6E0A"/>
    <w:rsid w:val="009E1E33"/>
    <w:rsid w:val="00A14672"/>
    <w:rsid w:val="00A154B5"/>
    <w:rsid w:val="00A26BD6"/>
    <w:rsid w:val="00A443CF"/>
    <w:rsid w:val="00A6611D"/>
    <w:rsid w:val="00A82CB7"/>
    <w:rsid w:val="00A942C1"/>
    <w:rsid w:val="00AA2F03"/>
    <w:rsid w:val="00AC36F7"/>
    <w:rsid w:val="00AC63A4"/>
    <w:rsid w:val="00AD239E"/>
    <w:rsid w:val="00B10265"/>
    <w:rsid w:val="00B16A99"/>
    <w:rsid w:val="00B21211"/>
    <w:rsid w:val="00B35784"/>
    <w:rsid w:val="00B43712"/>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C69912DE-02AB-4060-9DCD-D4A75CD9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A47"/>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923A47"/>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923A47"/>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923A47"/>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923A47"/>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923A47"/>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923A47"/>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923A47"/>
    <w:rPr>
      <w:sz w:val="36"/>
      <w:szCs w:val="52"/>
    </w:rPr>
  </w:style>
  <w:style w:type="paragraph" w:customStyle="1" w:styleId="Cover3-Haknesset">
    <w:name w:val="Cover 3-Haknesset"/>
    <w:basedOn w:val="Cover1-Reshumot"/>
    <w:rsid w:val="00923A47"/>
    <w:rPr>
      <w:b/>
      <w:bCs/>
      <w:spacing w:val="60"/>
    </w:rPr>
  </w:style>
  <w:style w:type="paragraph" w:customStyle="1" w:styleId="Cover4-Date">
    <w:name w:val="Cover 4-Date"/>
    <w:basedOn w:val="a"/>
    <w:rsid w:val="00923A47"/>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923A47"/>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923A47"/>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923A47"/>
    <w:pPr>
      <w:spacing w:before="120" w:after="120"/>
    </w:pPr>
    <w:rPr>
      <w:color w:val="FF0000"/>
      <w:w w:val="80"/>
    </w:rPr>
  </w:style>
  <w:style w:type="paragraph" w:styleId="a3">
    <w:name w:val="endnote text"/>
    <w:basedOn w:val="a"/>
    <w:semiHidden/>
    <w:rsid w:val="00923A47"/>
    <w:pPr>
      <w:ind w:left="227" w:hanging="227"/>
    </w:pPr>
    <w:rPr>
      <w:sz w:val="14"/>
      <w:szCs w:val="22"/>
    </w:rPr>
  </w:style>
  <w:style w:type="paragraph" w:customStyle="1" w:styleId="TableText">
    <w:name w:val="Table Text"/>
    <w:basedOn w:val="a"/>
    <w:rsid w:val="00923A47"/>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923A47"/>
    <w:pPr>
      <w:outlineLvl w:val="2"/>
    </w:pPr>
  </w:style>
  <w:style w:type="paragraph" w:customStyle="1" w:styleId="TableBlock">
    <w:name w:val="Table Block"/>
    <w:basedOn w:val="TableText"/>
    <w:rsid w:val="00923A47"/>
    <w:pPr>
      <w:jc w:val="both"/>
    </w:pPr>
  </w:style>
  <w:style w:type="paragraph" w:customStyle="1" w:styleId="TableHead">
    <w:name w:val="Table Head"/>
    <w:basedOn w:val="TableText"/>
    <w:rsid w:val="00923A47"/>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923A47"/>
    <w:pPr>
      <w:outlineLvl w:val="9"/>
    </w:pPr>
  </w:style>
  <w:style w:type="paragraph" w:customStyle="1" w:styleId="Hesber">
    <w:name w:val="Hesber"/>
    <w:basedOn w:val="a"/>
    <w:rsid w:val="00923A47"/>
    <w:pPr>
      <w:snapToGrid w:val="0"/>
      <w:ind w:left="0" w:firstLine="340"/>
    </w:pPr>
    <w:rPr>
      <w:rFonts w:ascii="Arial" w:eastAsia="Arial Unicode MS" w:hAnsi="Arial"/>
      <w:snapToGrid w:val="0"/>
      <w:sz w:val="20"/>
      <w:szCs w:val="26"/>
    </w:rPr>
  </w:style>
  <w:style w:type="paragraph" w:styleId="a4">
    <w:name w:val="footnote text"/>
    <w:basedOn w:val="a"/>
    <w:link w:val="a5"/>
    <w:autoRedefine/>
    <w:rsid w:val="00923A47"/>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rsid w:val="00923A47"/>
    <w:rPr>
      <w:vertAlign w:val="superscript"/>
    </w:rPr>
  </w:style>
  <w:style w:type="paragraph" w:customStyle="1" w:styleId="HesberHeading">
    <w:name w:val="Hesber Heading"/>
    <w:basedOn w:val="Hesber"/>
    <w:rsid w:val="00923A47"/>
    <w:pPr>
      <w:tabs>
        <w:tab w:val="left" w:pos="624"/>
        <w:tab w:val="left" w:pos="1247"/>
      </w:tabs>
    </w:pPr>
    <w:rPr>
      <w:b/>
      <w:bCs/>
    </w:rPr>
  </w:style>
  <w:style w:type="paragraph" w:customStyle="1" w:styleId="HesberWriters">
    <w:name w:val="Hesber Writers"/>
    <w:basedOn w:val="Hesber"/>
    <w:rsid w:val="00923A47"/>
    <w:pPr>
      <w:spacing w:before="120" w:after="120"/>
      <w:ind w:left="1418"/>
      <w:jc w:val="right"/>
    </w:pPr>
    <w:rPr>
      <w:b/>
      <w:bCs/>
    </w:rPr>
  </w:style>
  <w:style w:type="paragraph" w:customStyle="1" w:styleId="Hesber1st">
    <w:name w:val="Hesber 1st"/>
    <w:basedOn w:val="Hesber"/>
    <w:rsid w:val="00923A47"/>
    <w:pPr>
      <w:tabs>
        <w:tab w:val="left" w:pos="680"/>
        <w:tab w:val="left" w:pos="1020"/>
      </w:tabs>
      <w:ind w:firstLine="0"/>
    </w:pPr>
  </w:style>
  <w:style w:type="character" w:styleId="a7">
    <w:name w:val="endnote reference"/>
    <w:basedOn w:val="a0"/>
    <w:semiHidden/>
    <w:rsid w:val="00923A47"/>
    <w:rPr>
      <w:vertAlign w:val="superscript"/>
    </w:rPr>
  </w:style>
  <w:style w:type="paragraph" w:customStyle="1" w:styleId="TableBlockOutdent">
    <w:name w:val="Table BlockOutdent"/>
    <w:basedOn w:val="TableBlock"/>
    <w:rsid w:val="00923A47"/>
    <w:pPr>
      <w:ind w:left="624" w:hanging="624"/>
    </w:pPr>
  </w:style>
  <w:style w:type="paragraph" w:styleId="a8">
    <w:name w:val="header"/>
    <w:basedOn w:val="a"/>
    <w:rsid w:val="00923A47"/>
    <w:pPr>
      <w:tabs>
        <w:tab w:val="center" w:pos="4153"/>
        <w:tab w:val="right" w:pos="8306"/>
      </w:tabs>
    </w:pPr>
  </w:style>
  <w:style w:type="paragraph" w:styleId="a9">
    <w:name w:val="footer"/>
    <w:basedOn w:val="a"/>
    <w:rsid w:val="00923A47"/>
    <w:pPr>
      <w:tabs>
        <w:tab w:val="center" w:pos="4153"/>
        <w:tab w:val="right" w:pos="8306"/>
      </w:tabs>
    </w:pPr>
  </w:style>
  <w:style w:type="paragraph" w:customStyle="1" w:styleId="HeadDivreiHesber">
    <w:name w:val="Head DivreiHesber"/>
    <w:basedOn w:val="a"/>
    <w:rsid w:val="00923A47"/>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923A47"/>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923A47"/>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rsid w:val="00A154B5"/>
    <w:rPr>
      <w:rFonts w:ascii="Arial" w:eastAsia="Arial Unicode MS" w:hAnsi="Arial" w:cs="David"/>
      <w:snapToGrid w:val="0"/>
      <w:sz w:val="14"/>
    </w:rPr>
  </w:style>
  <w:style w:type="character" w:customStyle="1" w:styleId="10">
    <w:name w:val="כותרת 1 תו"/>
    <w:basedOn w:val="a0"/>
    <w:link w:val="1"/>
    <w:uiPriority w:val="9"/>
    <w:rsid w:val="00923A47"/>
    <w:rPr>
      <w:rFonts w:asciiTheme="majorHAnsi" w:eastAsiaTheme="majorEastAsia" w:hAnsiTheme="majorHAnsi" w:cs="David"/>
      <w:bCs/>
      <w:sz w:val="32"/>
      <w:szCs w:val="36"/>
    </w:rPr>
  </w:style>
  <w:style w:type="character" w:customStyle="1" w:styleId="20">
    <w:name w:val="כותרת 2 תו"/>
    <w:basedOn w:val="a0"/>
    <w:link w:val="2"/>
    <w:rsid w:val="00923A47"/>
    <w:rPr>
      <w:rFonts w:asciiTheme="majorHAnsi" w:eastAsiaTheme="majorEastAsia" w:hAnsiTheme="majorHAnsi" w:cs="David"/>
      <w:bCs/>
      <w:sz w:val="26"/>
      <w:szCs w:val="36"/>
      <w:u w:val="single"/>
    </w:rPr>
  </w:style>
  <w:style w:type="character" w:customStyle="1" w:styleId="30">
    <w:name w:val="כותרת 3 תו"/>
    <w:basedOn w:val="a0"/>
    <w:link w:val="3"/>
    <w:rsid w:val="00923A47"/>
    <w:rPr>
      <w:rFonts w:asciiTheme="majorHAnsi" w:eastAsiaTheme="majorEastAsia" w:hAnsiTheme="majorHAnsi" w:cs="David"/>
      <w:sz w:val="24"/>
      <w:szCs w:val="28"/>
      <w:u w:val="double"/>
    </w:rPr>
  </w:style>
  <w:style w:type="character" w:customStyle="1" w:styleId="40">
    <w:name w:val="כותרת 4 תו"/>
    <w:basedOn w:val="a0"/>
    <w:link w:val="4"/>
    <w:uiPriority w:val="9"/>
    <w:rsid w:val="00923A47"/>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923A47"/>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923A47"/>
    <w:pPr>
      <w:widowControl/>
      <w:spacing w:before="120" w:after="120"/>
      <w:outlineLvl w:val="9"/>
    </w:pPr>
    <w:rPr>
      <w:rtl/>
      <w:cs/>
    </w:rPr>
  </w:style>
  <w:style w:type="paragraph" w:styleId="TOC1">
    <w:name w:val="toc 1"/>
    <w:basedOn w:val="a"/>
    <w:next w:val="a"/>
    <w:autoRedefine/>
    <w:uiPriority w:val="39"/>
    <w:unhideWhenUsed/>
    <w:rsid w:val="00923A47"/>
    <w:pPr>
      <w:tabs>
        <w:tab w:val="right" w:leader="dot" w:pos="9629"/>
      </w:tabs>
      <w:spacing w:after="100"/>
    </w:pPr>
    <w:rPr>
      <w:bCs/>
      <w:szCs w:val="22"/>
    </w:rPr>
  </w:style>
  <w:style w:type="paragraph" w:styleId="TOC2">
    <w:name w:val="toc 2"/>
    <w:basedOn w:val="a"/>
    <w:next w:val="a"/>
    <w:uiPriority w:val="39"/>
    <w:unhideWhenUsed/>
    <w:rsid w:val="00923A47"/>
    <w:pPr>
      <w:tabs>
        <w:tab w:val="right" w:leader="dot" w:pos="9628"/>
      </w:tabs>
      <w:spacing w:after="100"/>
    </w:pPr>
    <w:rPr>
      <w:szCs w:val="22"/>
    </w:rPr>
  </w:style>
  <w:style w:type="character" w:styleId="Hyperlink">
    <w:name w:val="Hyperlink"/>
    <w:basedOn w:val="a0"/>
    <w:uiPriority w:val="99"/>
    <w:unhideWhenUsed/>
    <w:rsid w:val="00923A47"/>
    <w:rPr>
      <w:color w:val="0000FF" w:themeColor="hyperlink"/>
      <w:u w:val="single"/>
    </w:rPr>
  </w:style>
  <w:style w:type="paragraph" w:styleId="TOC3">
    <w:name w:val="toc 3"/>
    <w:basedOn w:val="a"/>
    <w:next w:val="a"/>
    <w:uiPriority w:val="39"/>
    <w:unhideWhenUsed/>
    <w:rsid w:val="00923A47"/>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923A47"/>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923A47"/>
    <w:pPr>
      <w:tabs>
        <w:tab w:val="right" w:leader="dot" w:pos="9628"/>
      </w:tabs>
      <w:spacing w:after="100"/>
      <w:ind w:left="567"/>
    </w:pPr>
    <w:rPr>
      <w:szCs w:val="22"/>
    </w:rPr>
  </w:style>
  <w:style w:type="paragraph" w:styleId="TOC6">
    <w:name w:val="toc 6"/>
    <w:basedOn w:val="a"/>
    <w:next w:val="a"/>
    <w:autoRedefine/>
    <w:semiHidden/>
    <w:unhideWhenUsed/>
    <w:rsid w:val="00923A47"/>
    <w:pPr>
      <w:spacing w:after="100"/>
      <w:ind w:left="850"/>
    </w:pPr>
  </w:style>
  <w:style w:type="paragraph" w:styleId="TOC7">
    <w:name w:val="toc 7"/>
    <w:basedOn w:val="a"/>
    <w:next w:val="a"/>
    <w:autoRedefine/>
    <w:semiHidden/>
    <w:unhideWhenUsed/>
    <w:rsid w:val="00923A47"/>
    <w:pPr>
      <w:spacing w:after="100"/>
      <w:ind w:left="1020"/>
    </w:pPr>
  </w:style>
  <w:style w:type="paragraph" w:styleId="TOC8">
    <w:name w:val="toc 8"/>
    <w:basedOn w:val="a"/>
    <w:next w:val="a"/>
    <w:autoRedefine/>
    <w:semiHidden/>
    <w:unhideWhenUsed/>
    <w:rsid w:val="00923A47"/>
    <w:pPr>
      <w:spacing w:after="100"/>
      <w:ind w:left="1190"/>
    </w:pPr>
  </w:style>
  <w:style w:type="paragraph" w:styleId="TOC9">
    <w:name w:val="toc 9"/>
    <w:basedOn w:val="a"/>
    <w:next w:val="a"/>
    <w:autoRedefine/>
    <w:semiHidden/>
    <w:unhideWhenUsed/>
    <w:rsid w:val="00923A47"/>
    <w:pPr>
      <w:spacing w:after="100"/>
      <w:ind w:left="1360"/>
    </w:pPr>
  </w:style>
  <w:style w:type="paragraph" w:customStyle="1" w:styleId="TableHead2">
    <w:name w:val="Table Head2"/>
    <w:basedOn w:val="TableHead"/>
    <w:qFormat/>
    <w:rsid w:val="00923A47"/>
    <w:pPr>
      <w:outlineLvl w:val="9"/>
    </w:pPr>
  </w:style>
  <w:style w:type="paragraph" w:customStyle="1" w:styleId="TableSideHeading2">
    <w:name w:val="Table SideHeading2"/>
    <w:basedOn w:val="TableSideHeading"/>
    <w:autoRedefine/>
    <w:qFormat/>
    <w:rsid w:val="00923A47"/>
    <w:pPr>
      <w:keepLines w:val="0"/>
      <w:outlineLvl w:val="9"/>
    </w:pPr>
  </w:style>
  <w:style w:type="paragraph" w:customStyle="1" w:styleId="0">
    <w:name w:val="סגנון שורה ראשונה:  0  ס''מ"/>
    <w:basedOn w:val="2"/>
    <w:rsid w:val="00923A47"/>
    <w:rPr>
      <w:rFonts w:eastAsia="Times New Roman"/>
    </w:rPr>
  </w:style>
  <w:style w:type="paragraph" w:styleId="af">
    <w:name w:val="List Paragraph"/>
    <w:basedOn w:val="a"/>
    <w:uiPriority w:val="34"/>
    <w:qFormat/>
    <w:rsid w:val="00923A47"/>
    <w:pPr>
      <w:widowControl/>
      <w:spacing w:line="259" w:lineRule="auto"/>
    </w:pPr>
    <w:rPr>
      <w:rFonts w:asciiTheme="minorHAnsi" w:hAnsiTheme="minorHAnsi"/>
      <w:sz w:val="22"/>
    </w:rPr>
  </w:style>
  <w:style w:type="table" w:styleId="af0">
    <w:name w:val="Table Grid"/>
    <w:basedOn w:val="a1"/>
    <w:rsid w:val="00923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923A4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923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923A47"/>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923A47"/>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360CB568-2225-4399-B431-80C0FFF1B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C2D16FF-75F5-473B-9EB5-4153D9F2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748</Words>
  <Characters>4269</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8</cp:revision>
  <cp:lastPrinted>2013-07-04T08:25:00Z</cp:lastPrinted>
  <dcterms:created xsi:type="dcterms:W3CDTF">2015-04-20T09:58:00Z</dcterms:created>
  <dcterms:modified xsi:type="dcterms:W3CDTF">2022-03-07T07:27:00Z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2190343</vt:r8>
  </property>
</Properties>
</file>